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3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786"/>
        <w:gridCol w:w="1363"/>
        <w:gridCol w:w="7370"/>
      </w:tblGrid>
      <w:tr w:rsidR="003F13F6" w:rsidRPr="003F13F6" w:rsidTr="00DA4930">
        <w:trPr>
          <w:cantSplit/>
          <w:trHeight w:val="872"/>
          <w:jc w:val="center"/>
        </w:trPr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F13F6" w:rsidRPr="003F13F6" w:rsidRDefault="003F13F6" w:rsidP="003F13F6">
            <w:pPr>
              <w:spacing w:before="8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8"/>
                <w:lang w:eastAsia="it-IT"/>
              </w:rPr>
            </w:pPr>
            <w:r w:rsidRPr="003F13F6">
              <w:rPr>
                <w:rFonts w:ascii="Arial" w:eastAsia="Times New Roman" w:hAnsi="Arial" w:cs="Arial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08126098" wp14:editId="44106004">
                  <wp:extent cx="352425" cy="381000"/>
                  <wp:effectExtent l="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F13F6" w:rsidRPr="003F13F6" w:rsidRDefault="003F13F6" w:rsidP="003F13F6">
            <w:pPr>
              <w:spacing w:before="6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8"/>
                <w:lang w:eastAsia="it-IT"/>
              </w:rPr>
            </w:pPr>
            <w:r w:rsidRPr="003F13F6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object w:dxaOrig="4186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29.25pt" o:ole="">
                  <v:imagedata r:id="rId6" o:title=""/>
                </v:shape>
                <o:OLEObject Type="Embed" ProgID="PBrush" ShapeID="_x0000_i1025" DrawAspect="Content" ObjectID="_1590066999" r:id="rId7"/>
              </w:object>
            </w:r>
          </w:p>
        </w:tc>
        <w:tc>
          <w:tcPr>
            <w:tcW w:w="39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F13F6" w:rsidRPr="003F13F6" w:rsidRDefault="003F13F6" w:rsidP="003F13F6">
            <w:pPr>
              <w:spacing w:before="60"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3F13F6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I </w:t>
            </w:r>
            <w:proofErr w:type="spellStart"/>
            <w:r w:rsidRPr="003F13F6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I</w:t>
            </w:r>
            <w:proofErr w:type="spellEnd"/>
            <w:r w:rsidRPr="003F13F6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S  </w:t>
            </w:r>
            <w:r w:rsidRPr="003F13F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it-IT"/>
              </w:rPr>
              <w:t>“Ettore Majorana”</w:t>
            </w:r>
          </w:p>
          <w:p w:rsidR="003F13F6" w:rsidRPr="003F13F6" w:rsidRDefault="003F13F6" w:rsidP="003F13F6">
            <w:pPr>
              <w:spacing w:before="60"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3F13F6">
              <w:rPr>
                <w:rFonts w:ascii="Arial" w:eastAsia="Times New Roman" w:hAnsi="Arial" w:cs="Arial"/>
                <w:sz w:val="24"/>
                <w:lang w:eastAsia="it-IT"/>
              </w:rPr>
              <w:t>Via A. De Gasperi, 6   -   20811  Cesano  Maderno  (MB)</w:t>
            </w:r>
          </w:p>
        </w:tc>
      </w:tr>
      <w:tr w:rsidR="003F13F6" w:rsidRPr="003F13F6" w:rsidTr="00DA4930">
        <w:trPr>
          <w:cantSplit/>
          <w:trHeight w:val="25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F13F6" w:rsidRPr="003F13F6" w:rsidRDefault="003F13F6" w:rsidP="003F13F6">
            <w:pPr>
              <w:keepNext/>
              <w:spacing w:before="120" w:after="40" w:line="320" w:lineRule="atLeast"/>
              <w:jc w:val="both"/>
              <w:outlineLvl w:val="2"/>
              <w:rPr>
                <w:rFonts w:ascii="Arial" w:eastAsia="Times New Roman" w:hAnsi="Arial" w:cs="Arial"/>
                <w:b/>
                <w:iCs/>
                <w:sz w:val="24"/>
                <w:lang w:eastAsia="it-IT"/>
              </w:rPr>
            </w:pPr>
            <w:r w:rsidRPr="003F13F6">
              <w:rPr>
                <w:rFonts w:ascii="Arial" w:eastAsia="Times New Roman" w:hAnsi="Arial" w:cs="Arial"/>
                <w:iCs/>
                <w:sz w:val="24"/>
                <w:lang w:eastAsia="it-IT"/>
              </w:rPr>
              <w:t>PROGRAMMA SVOLTO</w:t>
            </w:r>
          </w:p>
        </w:tc>
      </w:tr>
    </w:tbl>
    <w:p w:rsidR="003F13F6" w:rsidRPr="003F13F6" w:rsidRDefault="003F13F6" w:rsidP="003F13F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16"/>
          <w:lang w:eastAsia="it-IT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0"/>
        <w:gridCol w:w="3541"/>
        <w:gridCol w:w="1334"/>
        <w:gridCol w:w="3589"/>
      </w:tblGrid>
      <w:tr w:rsidR="003F13F6" w:rsidRPr="003F13F6" w:rsidTr="00DA4930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3F6" w:rsidRPr="003F13F6" w:rsidRDefault="003F13F6" w:rsidP="003F13F6">
            <w:pPr>
              <w:tabs>
                <w:tab w:val="left" w:pos="7460"/>
              </w:tabs>
              <w:spacing w:before="200" w:line="240" w:lineRule="auto"/>
              <w:rPr>
                <w:rFonts w:ascii="Arial" w:eastAsia="Times New Roman" w:hAnsi="Arial" w:cs="Arial"/>
                <w:sz w:val="24"/>
                <w:szCs w:val="18"/>
                <w:lang w:eastAsia="it-IT"/>
              </w:rPr>
            </w:pPr>
            <w:r w:rsidRPr="003F13F6">
              <w:rPr>
                <w:rFonts w:ascii="Arial" w:eastAsia="Times New Roman" w:hAnsi="Arial" w:cs="Arial"/>
                <w:sz w:val="24"/>
                <w:szCs w:val="18"/>
                <w:lang w:eastAsia="it-IT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3F6" w:rsidRPr="003F13F6" w:rsidRDefault="003F13F6" w:rsidP="003F13F6">
            <w:pPr>
              <w:tabs>
                <w:tab w:val="left" w:pos="7460"/>
              </w:tabs>
              <w:spacing w:before="200" w:line="240" w:lineRule="auto"/>
              <w:rPr>
                <w:rFonts w:ascii="Arial" w:eastAsia="Times New Roman" w:hAnsi="Arial" w:cs="Arial"/>
                <w:sz w:val="24"/>
                <w:szCs w:val="18"/>
                <w:lang w:eastAsia="it-IT"/>
              </w:rPr>
            </w:pPr>
            <w:r w:rsidRPr="003F13F6">
              <w:rPr>
                <w:rFonts w:ascii="Arial" w:eastAsia="Times New Roman" w:hAnsi="Arial" w:cs="Arial"/>
                <w:sz w:val="24"/>
                <w:szCs w:val="18"/>
                <w:lang w:eastAsia="it-IT"/>
              </w:rPr>
              <w:t>V ALS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3F6" w:rsidRPr="003F13F6" w:rsidRDefault="003F13F6" w:rsidP="003F13F6">
            <w:pPr>
              <w:tabs>
                <w:tab w:val="left" w:pos="7460"/>
              </w:tabs>
              <w:spacing w:before="200" w:line="240" w:lineRule="auto"/>
              <w:ind w:left="-143" w:right="-73"/>
              <w:jc w:val="center"/>
              <w:rPr>
                <w:rFonts w:ascii="Arial" w:eastAsia="Times New Roman" w:hAnsi="Arial" w:cs="Arial"/>
                <w:sz w:val="24"/>
                <w:szCs w:val="18"/>
                <w:lang w:eastAsia="it-IT"/>
              </w:rPr>
            </w:pPr>
            <w:r w:rsidRPr="003F13F6">
              <w:rPr>
                <w:rFonts w:ascii="Arial" w:eastAsia="Times New Roman" w:hAnsi="Arial" w:cs="Arial"/>
                <w:sz w:val="24"/>
                <w:szCs w:val="18"/>
                <w:lang w:eastAsia="it-IT"/>
              </w:rPr>
              <w:t xml:space="preserve"> DISCIPLINA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3F6" w:rsidRPr="003F13F6" w:rsidRDefault="003F13F6" w:rsidP="003F13F6">
            <w:pPr>
              <w:tabs>
                <w:tab w:val="left" w:pos="7460"/>
              </w:tabs>
              <w:spacing w:before="200" w:line="240" w:lineRule="auto"/>
              <w:rPr>
                <w:rFonts w:ascii="Arial" w:eastAsia="Times New Roman" w:hAnsi="Arial" w:cs="Arial"/>
                <w:sz w:val="24"/>
                <w:szCs w:val="18"/>
                <w:lang w:eastAsia="it-IT"/>
              </w:rPr>
            </w:pPr>
            <w:r w:rsidRPr="003F13F6">
              <w:rPr>
                <w:rFonts w:ascii="Arial" w:eastAsia="Times New Roman" w:hAnsi="Arial" w:cs="Arial"/>
                <w:sz w:val="24"/>
                <w:szCs w:val="18"/>
                <w:lang w:eastAsia="it-IT"/>
              </w:rPr>
              <w:t>Storia</w:t>
            </w:r>
          </w:p>
        </w:tc>
      </w:tr>
      <w:tr w:rsidR="003F13F6" w:rsidRPr="003F13F6" w:rsidTr="00DA4930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3F6" w:rsidRPr="003F13F6" w:rsidRDefault="003F13F6" w:rsidP="003F13F6">
            <w:pPr>
              <w:tabs>
                <w:tab w:val="left" w:pos="7460"/>
              </w:tabs>
              <w:spacing w:before="200" w:line="240" w:lineRule="auto"/>
              <w:rPr>
                <w:rFonts w:ascii="Arial" w:eastAsia="Times New Roman" w:hAnsi="Arial" w:cs="Arial"/>
                <w:sz w:val="24"/>
                <w:szCs w:val="18"/>
                <w:lang w:eastAsia="it-IT"/>
              </w:rPr>
            </w:pPr>
            <w:r w:rsidRPr="003F13F6">
              <w:rPr>
                <w:rFonts w:ascii="Arial" w:eastAsia="Times New Roman" w:hAnsi="Arial" w:cs="Arial"/>
                <w:sz w:val="24"/>
                <w:szCs w:val="18"/>
                <w:lang w:eastAsia="it-IT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3F6" w:rsidRPr="003F13F6" w:rsidRDefault="003F13F6" w:rsidP="003F13F6">
            <w:pPr>
              <w:tabs>
                <w:tab w:val="left" w:pos="7460"/>
              </w:tabs>
              <w:spacing w:before="200" w:line="240" w:lineRule="auto"/>
              <w:rPr>
                <w:rFonts w:ascii="Arial" w:eastAsia="Times New Roman" w:hAnsi="Arial" w:cs="Arial"/>
                <w:sz w:val="24"/>
                <w:szCs w:val="18"/>
                <w:lang w:eastAsia="it-IT"/>
              </w:rPr>
            </w:pPr>
            <w:r w:rsidRPr="003F13F6">
              <w:rPr>
                <w:rFonts w:ascii="Arial" w:eastAsia="Times New Roman" w:hAnsi="Arial" w:cs="Arial"/>
                <w:sz w:val="24"/>
                <w:szCs w:val="18"/>
                <w:lang w:eastAsia="it-IT"/>
              </w:rPr>
              <w:t>Laura Genesio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3F6" w:rsidRPr="003F13F6" w:rsidRDefault="003F13F6" w:rsidP="003F13F6">
            <w:pPr>
              <w:tabs>
                <w:tab w:val="left" w:pos="7460"/>
              </w:tabs>
              <w:spacing w:before="200" w:line="240" w:lineRule="auto"/>
              <w:ind w:left="-143" w:right="-73"/>
              <w:jc w:val="center"/>
              <w:rPr>
                <w:rFonts w:ascii="Arial" w:eastAsia="Times New Roman" w:hAnsi="Arial" w:cs="Arial"/>
                <w:sz w:val="24"/>
                <w:szCs w:val="18"/>
                <w:lang w:eastAsia="it-IT"/>
              </w:rPr>
            </w:pPr>
            <w:r w:rsidRPr="003F13F6">
              <w:rPr>
                <w:rFonts w:ascii="Arial" w:eastAsia="Times New Roman" w:hAnsi="Arial" w:cs="Arial"/>
                <w:sz w:val="24"/>
                <w:szCs w:val="18"/>
                <w:lang w:eastAsia="it-IT"/>
              </w:rPr>
              <w:t>A.S.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3F6" w:rsidRPr="003F13F6" w:rsidRDefault="003F13F6" w:rsidP="003F13F6">
            <w:pPr>
              <w:tabs>
                <w:tab w:val="left" w:pos="7460"/>
              </w:tabs>
              <w:spacing w:before="200" w:line="240" w:lineRule="auto"/>
              <w:rPr>
                <w:rFonts w:ascii="Arial" w:eastAsia="Times New Roman" w:hAnsi="Arial" w:cs="Arial"/>
                <w:sz w:val="24"/>
                <w:szCs w:val="18"/>
                <w:lang w:eastAsia="it-IT"/>
              </w:rPr>
            </w:pPr>
            <w:r w:rsidRPr="003F13F6">
              <w:rPr>
                <w:rFonts w:ascii="Arial" w:eastAsia="Times New Roman" w:hAnsi="Arial" w:cs="Arial"/>
                <w:sz w:val="24"/>
                <w:szCs w:val="18"/>
                <w:lang w:eastAsia="it-IT"/>
              </w:rPr>
              <w:t>2017/2018</w:t>
            </w:r>
          </w:p>
        </w:tc>
      </w:tr>
    </w:tbl>
    <w:p w:rsidR="003F13F6" w:rsidRPr="003F13F6" w:rsidRDefault="003F13F6" w:rsidP="003F13F6">
      <w:pPr>
        <w:keepNext/>
        <w:spacing w:after="0" w:line="320" w:lineRule="atLeast"/>
        <w:outlineLvl w:val="0"/>
        <w:rPr>
          <w:rFonts w:ascii="Arial" w:eastAsia="Times New Roman" w:hAnsi="Arial" w:cs="Arial"/>
          <w:b/>
          <w:i/>
          <w:i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/>
          <w:i/>
          <w:iCs/>
          <w:sz w:val="24"/>
          <w:szCs w:val="24"/>
          <w:lang w:eastAsia="it-IT"/>
        </w:rPr>
        <w:t xml:space="preserve"> 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i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i/>
          <w:sz w:val="24"/>
          <w:szCs w:val="24"/>
          <w:lang w:eastAsia="it-IT"/>
        </w:rPr>
        <w:t>Contenuti del volume 2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t>L’Europa delle classi e delle nazioni</w:t>
      </w:r>
      <w:r w:rsidRPr="003F13F6">
        <w:rPr>
          <w:rFonts w:ascii="Arial" w:eastAsia="Times New Roman" w:hAnsi="Arial" w:cs="Arial"/>
          <w:sz w:val="24"/>
          <w:szCs w:val="24"/>
          <w:lang w:eastAsia="it-IT"/>
        </w:rPr>
        <w:t xml:space="preserve">: 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>Il Congresso di Vienna; le società segrete; la Carboneria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>I moti del 1820-21; le insurrezioni del 1830-31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>Il pensiero politico di Giuseppe Mazzini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>I moderati, i democratici, il federalismo di Cattaneo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Il Quarantotto in Francia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prima guerra d’indipendenza in Italia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Lo Statuto albertino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concezione politica di Cavour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guerra di Crimea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seconda guerra d’indipendenza in Italia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spedizione dei Mille. La formazione del Regno d’Italia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frammentazione politica della Germania; la nascita del Reich tedesco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Francia di Napoleone III</w:t>
      </w:r>
    </w:p>
    <w:p w:rsidR="003F13F6" w:rsidRPr="003F13F6" w:rsidRDefault="003F13F6" w:rsidP="003F13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3F13F6" w:rsidRPr="003F13F6" w:rsidRDefault="003F13F6" w:rsidP="003F13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t>Movimento operaio e  socialismo: origini ed evoluzione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>La nascita del movimento operaio e il primo sindacalismo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Dal primo socialismo “utopico” al socialismo “scientifico” di </w:t>
      </w:r>
      <w:proofErr w:type="spellStart"/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>Marx</w:t>
      </w:r>
      <w:proofErr w:type="spellEnd"/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>L’anarchismo di Bakunin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>La Prima Internazionale; la Comune di Parigi; la Seconda Internazionale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t>L’età dell’imperialismo</w:t>
      </w: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tab/>
      </w: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tab/>
        <w:t xml:space="preserve"> 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I nuovi caratteri del colonialismo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 xml:space="preserve">L’imperialismo nelle sue motivazioni 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spartizione dell’Africa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 xml:space="preserve">La nascita del razzismo antisemita; l’affare </w:t>
      </w:r>
      <w:proofErr w:type="spellStart"/>
      <w:r w:rsidRPr="003F13F6">
        <w:rPr>
          <w:rFonts w:ascii="Arial" w:eastAsia="Times New Roman" w:hAnsi="Arial" w:cs="Arial"/>
          <w:sz w:val="24"/>
          <w:szCs w:val="24"/>
          <w:lang w:eastAsia="it-IT"/>
        </w:rPr>
        <w:t>Dreyfus</w:t>
      </w:r>
      <w:proofErr w:type="spellEnd"/>
      <w:r w:rsidRPr="003F13F6">
        <w:rPr>
          <w:rFonts w:ascii="Arial" w:eastAsia="Times New Roman" w:hAnsi="Arial" w:cs="Arial"/>
          <w:sz w:val="24"/>
          <w:szCs w:val="24"/>
          <w:lang w:eastAsia="it-IT"/>
        </w:rPr>
        <w:t xml:space="preserve"> in Francia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:rsidR="003F13F6" w:rsidRPr="003F13F6" w:rsidRDefault="003F13F6" w:rsidP="003F13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t>Lo stato unitario italiano nell’età della Destra storica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>L’Italia al momento dell’unificazione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>La Destra “storica” al governo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La conquista del Veneto; la questione romana 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>Provvedimenti scolastici, giuridici, amministrativi, economici; il brigantaggio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t>Il governo della Sinistra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>Il programma di Depretis e le realizzazioni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>Il “trasformismo”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Times New Roman" w:eastAsia="Times New Roman" w:hAnsi="Times New Roman" w:cs="Times New Roman"/>
          <w:szCs w:val="20"/>
          <w:lang w:eastAsia="it-IT"/>
        </w:rPr>
      </w:pP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>La “Triplice Alleanza” e l’inizio del colonialismo italiano in Africa</w:t>
      </w:r>
    </w:p>
    <w:p w:rsidR="003F13F6" w:rsidRPr="003F13F6" w:rsidRDefault="003F13F6" w:rsidP="003F13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3F13F6" w:rsidRPr="003F13F6" w:rsidRDefault="003F13F6" w:rsidP="003F13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t>L’età crispina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La politica accentratrice e autoritaria di </w:t>
      </w:r>
      <w:proofErr w:type="spellStart"/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>Crispi</w:t>
      </w:r>
      <w:proofErr w:type="spellEnd"/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Protezionismo ed emigrazione di massa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nascita del Partito socialista</w:t>
      </w: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>L’inasprimento dei conflitti sociali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repressione delle rivendicazioni popolari</w:t>
      </w: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 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 xml:space="preserve">La ripresa dell’iniziativa coloniale italiana e il crollo politico di </w:t>
      </w:r>
      <w:proofErr w:type="spellStart"/>
      <w:r w:rsidRPr="003F13F6">
        <w:rPr>
          <w:rFonts w:ascii="Arial" w:eastAsia="Times New Roman" w:hAnsi="Arial" w:cs="Arial"/>
          <w:bCs/>
          <w:sz w:val="24"/>
          <w:szCs w:val="24"/>
          <w:lang w:eastAsia="it-IT"/>
        </w:rPr>
        <w:t>Crispi</w:t>
      </w:r>
      <w:proofErr w:type="spellEnd"/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crisi di fine secolo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i/>
          <w:sz w:val="24"/>
          <w:szCs w:val="24"/>
          <w:lang w:eastAsia="it-IT"/>
        </w:rPr>
      </w:pP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i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i/>
          <w:sz w:val="24"/>
          <w:szCs w:val="24"/>
          <w:lang w:eastAsia="it-IT"/>
        </w:rPr>
        <w:t>Contenuti del volume 3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t>L’età giolittiana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strategia politica di Giolitti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collaborazione politica con i socialisti riformisti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crescita industriale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guerra di Libia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 xml:space="preserve">La riforma elettorale e il Patto </w:t>
      </w:r>
      <w:proofErr w:type="spellStart"/>
      <w:r w:rsidRPr="003F13F6">
        <w:rPr>
          <w:rFonts w:ascii="Arial" w:eastAsia="Times New Roman" w:hAnsi="Arial" w:cs="Arial"/>
          <w:sz w:val="24"/>
          <w:szCs w:val="24"/>
          <w:lang w:eastAsia="it-IT"/>
        </w:rPr>
        <w:t>Gentiloni</w:t>
      </w:r>
      <w:proofErr w:type="spellEnd"/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bCs/>
          <w:sz w:val="24"/>
          <w:szCs w:val="24"/>
          <w:lang w:eastAsia="it-IT"/>
        </w:rPr>
      </w:pPr>
    </w:p>
    <w:p w:rsidR="003F13F6" w:rsidRPr="003F13F6" w:rsidRDefault="003F13F6" w:rsidP="003F13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t>Cristianesimo e mondo moderno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Chiesa cattolica e il suo difficile confronto con la “</w:t>
      </w:r>
      <w:proofErr w:type="spellStart"/>
      <w:r w:rsidRPr="003F13F6">
        <w:rPr>
          <w:rFonts w:ascii="Arial" w:eastAsia="Times New Roman" w:hAnsi="Arial" w:cs="Arial"/>
          <w:sz w:val="24"/>
          <w:szCs w:val="24"/>
          <w:lang w:eastAsia="it-IT"/>
        </w:rPr>
        <w:t>civilità</w:t>
      </w:r>
      <w:proofErr w:type="spellEnd"/>
      <w:r w:rsidRPr="003F13F6">
        <w:rPr>
          <w:rFonts w:ascii="Arial" w:eastAsia="Times New Roman" w:hAnsi="Arial" w:cs="Arial"/>
          <w:sz w:val="24"/>
          <w:szCs w:val="24"/>
          <w:lang w:eastAsia="it-IT"/>
        </w:rPr>
        <w:t xml:space="preserve"> moderna”; diversi volti del cattolicesimo: il cattolicesimo intransigente e quello liberale; il pontificato di Pio IX: il Sillabo; la svolta di Leone XIII: l’enciclica “Rerum </w:t>
      </w:r>
      <w:proofErr w:type="spellStart"/>
      <w:r w:rsidRPr="003F13F6">
        <w:rPr>
          <w:rFonts w:ascii="Arial" w:eastAsia="Times New Roman" w:hAnsi="Arial" w:cs="Arial"/>
          <w:sz w:val="24"/>
          <w:szCs w:val="24"/>
          <w:lang w:eastAsia="it-IT"/>
        </w:rPr>
        <w:t>novarum</w:t>
      </w:r>
      <w:proofErr w:type="spellEnd"/>
      <w:r w:rsidRPr="003F13F6">
        <w:rPr>
          <w:rFonts w:ascii="Arial" w:eastAsia="Times New Roman" w:hAnsi="Arial" w:cs="Arial"/>
          <w:sz w:val="24"/>
          <w:szCs w:val="24"/>
          <w:lang w:eastAsia="it-IT"/>
        </w:rPr>
        <w:t>”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:rsidR="003F13F6" w:rsidRPr="003F13F6" w:rsidRDefault="003F13F6" w:rsidP="003F13F6">
      <w:pPr>
        <w:spacing w:after="0" w:line="320" w:lineRule="atLeast"/>
        <w:jc w:val="both"/>
        <w:rPr>
          <w:rFonts w:ascii="Times New Roman" w:eastAsia="Times New Roman" w:hAnsi="Times New Roman" w:cs="Times New Roman"/>
          <w:b/>
          <w:i/>
          <w:smallCaps/>
          <w:szCs w:val="20"/>
          <w:u w:val="single"/>
          <w:lang w:eastAsia="it-IT"/>
        </w:rPr>
      </w:pP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t>1870-1914: l’economia e la società</w:t>
      </w:r>
    </w:p>
    <w:p w:rsidR="003F13F6" w:rsidRPr="003F13F6" w:rsidRDefault="003F13F6" w:rsidP="003F13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“Grande Depressione”</w:t>
      </w:r>
    </w:p>
    <w:p w:rsidR="003F13F6" w:rsidRPr="003F13F6" w:rsidRDefault="003F13F6" w:rsidP="003F13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Trasformazioni economiche fra Ottocento e Novecento: la seconda rivoluzione industriale (1896-1915); le nuove forme assunte dal capitalismo</w:t>
      </w:r>
    </w:p>
    <w:p w:rsidR="003F13F6" w:rsidRPr="003F13F6" w:rsidRDefault="003F13F6" w:rsidP="003F13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mallCaps/>
          <w:szCs w:val="20"/>
          <w:u w:val="single"/>
          <w:lang w:eastAsia="it-IT"/>
        </w:rPr>
      </w:pPr>
    </w:p>
    <w:p w:rsidR="003F13F6" w:rsidRPr="003F13F6" w:rsidRDefault="003F13F6" w:rsidP="003F13F6">
      <w:pPr>
        <w:spacing w:after="0" w:line="320" w:lineRule="atLeast"/>
        <w:jc w:val="both"/>
        <w:rPr>
          <w:rFonts w:ascii="Times New Roman" w:eastAsia="Times New Roman" w:hAnsi="Times New Roman" w:cs="Times New Roman"/>
          <w:b/>
          <w:i/>
          <w:smallCaps/>
          <w:szCs w:val="20"/>
          <w:u w:val="single"/>
          <w:lang w:eastAsia="it-IT"/>
        </w:rPr>
      </w:pP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t>L’impero tedesco nell’età di Bismarck</w:t>
      </w:r>
    </w:p>
    <w:p w:rsidR="003F13F6" w:rsidRPr="003F13F6" w:rsidRDefault="003F13F6" w:rsidP="003F13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Il modello istituzionale tedesco; la politica interna di Bismarck: i contrasti con i cattolici e con i socialisti; la politica estera di Bismarck: la Germania perno dell’equilibrio internazionale; le dimissioni di Bismarck e il “nuovo corso” di Guglielmo II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i/>
          <w:sz w:val="24"/>
          <w:szCs w:val="24"/>
          <w:lang w:eastAsia="it-IT"/>
        </w:rPr>
      </w:pPr>
    </w:p>
    <w:p w:rsidR="003F13F6" w:rsidRPr="003F13F6" w:rsidRDefault="003F13F6" w:rsidP="003F13F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t>La prima guerra mondiale</w:t>
      </w:r>
    </w:p>
    <w:p w:rsidR="003F13F6" w:rsidRPr="003F13F6" w:rsidRDefault="003F13F6" w:rsidP="003F13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Le origini del conflitto</w:t>
      </w:r>
    </w:p>
    <w:p w:rsidR="003F13F6" w:rsidRPr="003F13F6" w:rsidRDefault="003F13F6" w:rsidP="003F13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dinamica militare del conflitto</w:t>
      </w:r>
    </w:p>
    <w:p w:rsidR="003F13F6" w:rsidRPr="003F13F6" w:rsidRDefault="003F13F6" w:rsidP="003F13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guerra vissuta in trincea (1915-1916)</w:t>
      </w:r>
    </w:p>
    <w:p w:rsidR="003F13F6" w:rsidRPr="003F13F6" w:rsidRDefault="003F13F6" w:rsidP="003F13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L’anno cruciale (1917)</w:t>
      </w:r>
    </w:p>
    <w:p w:rsidR="003F13F6" w:rsidRPr="003F13F6" w:rsidRDefault="003F13F6" w:rsidP="003F13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fine del conflitto (1918)</w:t>
      </w:r>
    </w:p>
    <w:p w:rsidR="003F13F6" w:rsidRPr="003F13F6" w:rsidRDefault="003F13F6" w:rsidP="003F13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nuova Europa dei trattati di pace</w:t>
      </w:r>
    </w:p>
    <w:p w:rsidR="003F13F6" w:rsidRPr="003F13F6" w:rsidRDefault="003F13F6" w:rsidP="003F13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3F13F6" w:rsidRPr="003F13F6" w:rsidRDefault="003F13F6" w:rsidP="003F13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lastRenderedPageBreak/>
        <w:t>L’Italia dal 1914 al 1918</w:t>
      </w:r>
    </w:p>
    <w:p w:rsidR="003F13F6" w:rsidRPr="003F13F6" w:rsidRDefault="003F13F6" w:rsidP="003F13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Il problema dell’intervento: il dibattito tra neutralisti e interventisti</w:t>
      </w:r>
    </w:p>
    <w:p w:rsidR="003F13F6" w:rsidRPr="003F13F6" w:rsidRDefault="003F13F6" w:rsidP="003F13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L’Italia in guerra</w:t>
      </w:r>
    </w:p>
    <w:p w:rsidR="003F13F6" w:rsidRPr="003F13F6" w:rsidRDefault="003F13F6" w:rsidP="003F13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:rsidR="003F13F6" w:rsidRPr="003F13F6" w:rsidRDefault="003F13F6" w:rsidP="003F13F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t>La rivoluzione bolscevica in Russia</w:t>
      </w:r>
    </w:p>
    <w:p w:rsidR="003F13F6" w:rsidRPr="003F13F6" w:rsidRDefault="003F13F6" w:rsidP="003F13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L’arretratezza della Russia; le conseguenze della prima guerra mondiale</w:t>
      </w:r>
    </w:p>
    <w:p w:rsidR="003F13F6" w:rsidRPr="003F13F6" w:rsidRDefault="003F13F6" w:rsidP="003F13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rivoluzione del febbraio 1917</w:t>
      </w:r>
    </w:p>
    <w:p w:rsidR="003F13F6" w:rsidRPr="003F13F6" w:rsidRDefault="003F13F6" w:rsidP="003F13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Lenin e le “tesi di aprile”</w:t>
      </w:r>
    </w:p>
    <w:p w:rsidR="003F13F6" w:rsidRPr="003F13F6" w:rsidRDefault="003F13F6" w:rsidP="003F13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rivoluzione d’ottobre</w:t>
      </w:r>
    </w:p>
    <w:p w:rsidR="003F13F6" w:rsidRPr="003F13F6" w:rsidRDefault="003F13F6" w:rsidP="003F13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 xml:space="preserve">La guerra civile </w:t>
      </w:r>
    </w:p>
    <w:p w:rsidR="003F13F6" w:rsidRPr="003F13F6" w:rsidRDefault="003F13F6" w:rsidP="003F13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L’edificazione del socialismo; il comunismo di guerra; la NEP</w:t>
      </w:r>
    </w:p>
    <w:p w:rsidR="003F13F6" w:rsidRPr="003F13F6" w:rsidRDefault="003F13F6" w:rsidP="003F13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nascita dell’URSS</w:t>
      </w:r>
    </w:p>
    <w:p w:rsidR="003F13F6" w:rsidRPr="003F13F6" w:rsidRDefault="003F13F6" w:rsidP="003F13F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t>Il fascismo in Italia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Le conseguenze della prima guerra mondiale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delusione della vittoria; D’Annunzio e la “vittoria mutilata”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situazione economica e sociale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Il Partito popolare italiano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L’occupazione delle fabbriche (“Biennio rosso”)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 xml:space="preserve">L’ultimo governo Giolitti e la crisi del liberalismo 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Benito Mussolini e i Fasci italiani di combattimento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Lo squadrismo e la crisi dello stato liberale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nascita del Partito nazionale fascista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marcia su Roma e la conquista del potere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Il delitto Matteotti e l’instaurazione del Regime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distruzione dello stato liberale: le leggi “</w:t>
      </w:r>
      <w:proofErr w:type="spellStart"/>
      <w:r w:rsidRPr="003F13F6">
        <w:rPr>
          <w:rFonts w:ascii="Arial" w:eastAsia="Times New Roman" w:hAnsi="Arial" w:cs="Arial"/>
          <w:sz w:val="24"/>
          <w:szCs w:val="24"/>
          <w:lang w:eastAsia="it-IT"/>
        </w:rPr>
        <w:t>fascistissime</w:t>
      </w:r>
      <w:proofErr w:type="spellEnd"/>
      <w:r w:rsidRPr="003F13F6">
        <w:rPr>
          <w:rFonts w:ascii="Arial" w:eastAsia="Times New Roman" w:hAnsi="Arial" w:cs="Arial"/>
          <w:sz w:val="24"/>
          <w:szCs w:val="24"/>
          <w:lang w:eastAsia="it-IT"/>
        </w:rPr>
        <w:t>”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costruzione dello stato totalitario: l’organizzazione del consenso, il controllo dell’informazione, la scuola, l’organizzazione del tempo libero e l’inquadramento dei giovani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I rapporti con la Chiesa: i Patti Lateranensi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negazione della lotta di classe: il corporativismo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politica economica del regime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politica estera e le leggi razziali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 xml:space="preserve">L’opposizione al fascismo 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t>Il nazionalsocialismo in Germania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Le conseguenze della prima guerra mondiale: la sconfitta militare; il Trattato di pace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Repubblica di Weimar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L’entrata in scena di Adolf Hitler; la NSDAP; il putsch di Monaco e il “</w:t>
      </w:r>
      <w:proofErr w:type="spellStart"/>
      <w:r w:rsidRPr="003F13F6">
        <w:rPr>
          <w:rFonts w:ascii="Arial" w:eastAsia="Times New Roman" w:hAnsi="Arial" w:cs="Arial"/>
          <w:sz w:val="24"/>
          <w:szCs w:val="24"/>
          <w:lang w:eastAsia="it-IT"/>
        </w:rPr>
        <w:t>Mein</w:t>
      </w:r>
      <w:proofErr w:type="spellEnd"/>
      <w:r w:rsidRPr="003F13F6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proofErr w:type="spellStart"/>
      <w:r w:rsidRPr="003F13F6">
        <w:rPr>
          <w:rFonts w:ascii="Arial" w:eastAsia="Times New Roman" w:hAnsi="Arial" w:cs="Arial"/>
          <w:sz w:val="24"/>
          <w:szCs w:val="24"/>
          <w:lang w:eastAsia="it-IT"/>
        </w:rPr>
        <w:t>Kampf</w:t>
      </w:r>
      <w:proofErr w:type="spellEnd"/>
      <w:r w:rsidRPr="003F13F6">
        <w:rPr>
          <w:rFonts w:ascii="Arial" w:eastAsia="Times New Roman" w:hAnsi="Arial" w:cs="Arial"/>
          <w:sz w:val="24"/>
          <w:szCs w:val="24"/>
          <w:lang w:eastAsia="it-IT"/>
        </w:rPr>
        <w:t>”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I fondamenti dell’ideologia nazionalsocialista: lo spazio vitale, il bolscevismo giudaico e la dottrina della razza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Germania nella seconda metà degli anni ‘20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L’ascesa del partito nazista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 xml:space="preserve">La presa di potere e l’incendio del </w:t>
      </w:r>
      <w:proofErr w:type="spellStart"/>
      <w:r w:rsidRPr="003F13F6">
        <w:rPr>
          <w:rFonts w:ascii="Arial" w:eastAsia="Times New Roman" w:hAnsi="Arial" w:cs="Arial"/>
          <w:sz w:val="24"/>
          <w:szCs w:val="24"/>
          <w:lang w:eastAsia="it-IT"/>
        </w:rPr>
        <w:t>Reichstag</w:t>
      </w:r>
      <w:proofErr w:type="spellEnd"/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L’assunzione dei pieni poteri; l’instaurazione della dittatura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Lo Stato totalitario e l’organizzazione del consenso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politica economica ed estera della Germania nazista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politica razziale di Hitler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t>Lo stalinismo in Unione sovietica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lotta per la successione dopo la morte di Lenin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lastRenderedPageBreak/>
        <w:t>Il piano quinquennale e lo sviluppo industriale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collettivizzazione nelle campagne e l’eliminazione dei kulaki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liquidazione degli avversari; le epurazioni e il culto del leader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Gli Stati Uniti e la crisi economica del 1929  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I ruggenti Anni Venti negli Stati Uniti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 xml:space="preserve">L’inizio della Grande depressione: il crollo della Borsa di </w:t>
      </w:r>
      <w:proofErr w:type="spellStart"/>
      <w:r w:rsidRPr="003F13F6">
        <w:rPr>
          <w:rFonts w:ascii="Arial" w:eastAsia="Times New Roman" w:hAnsi="Arial" w:cs="Arial"/>
          <w:sz w:val="24"/>
          <w:szCs w:val="24"/>
          <w:lang w:eastAsia="it-IT"/>
        </w:rPr>
        <w:t>Wall</w:t>
      </w:r>
      <w:proofErr w:type="spellEnd"/>
      <w:r w:rsidRPr="003F13F6">
        <w:rPr>
          <w:rFonts w:ascii="Arial" w:eastAsia="Times New Roman" w:hAnsi="Arial" w:cs="Arial"/>
          <w:sz w:val="24"/>
          <w:szCs w:val="24"/>
          <w:lang w:eastAsia="it-IT"/>
        </w:rPr>
        <w:t xml:space="preserve"> Street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it-IT"/>
        </w:rPr>
      </w:pPr>
      <w:r w:rsidRPr="003F13F6">
        <w:rPr>
          <w:rFonts w:ascii="Arial" w:eastAsia="Times New Roman" w:hAnsi="Arial" w:cs="Arial"/>
          <w:sz w:val="24"/>
          <w:szCs w:val="24"/>
          <w:lang w:val="en-US" w:eastAsia="it-IT"/>
        </w:rPr>
        <w:t xml:space="preserve">Roosevelt e </w:t>
      </w:r>
      <w:proofErr w:type="spellStart"/>
      <w:r w:rsidRPr="003F13F6">
        <w:rPr>
          <w:rFonts w:ascii="Arial" w:eastAsia="Times New Roman" w:hAnsi="Arial" w:cs="Arial"/>
          <w:sz w:val="24"/>
          <w:szCs w:val="24"/>
          <w:lang w:val="en-US" w:eastAsia="it-IT"/>
        </w:rPr>
        <w:t>il</w:t>
      </w:r>
      <w:proofErr w:type="spellEnd"/>
      <w:r w:rsidRPr="003F13F6">
        <w:rPr>
          <w:rFonts w:ascii="Arial" w:eastAsia="Times New Roman" w:hAnsi="Arial" w:cs="Arial"/>
          <w:sz w:val="24"/>
          <w:szCs w:val="24"/>
          <w:lang w:val="en-US" w:eastAsia="it-IT"/>
        </w:rPr>
        <w:t xml:space="preserve"> “New Deal”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it-IT"/>
        </w:rPr>
      </w:pP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b/>
          <w:sz w:val="24"/>
          <w:szCs w:val="24"/>
          <w:lang w:eastAsia="it-IT"/>
        </w:rPr>
        <w:t>La seconda guerra  mondiale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Le origini del conflitto; la dinamica della guerra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“guerra lampo” (1939-40)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 xml:space="preserve">L’Italia nella seconda guerra mondiale; la non belligeranza 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L’intervento e la guerra parallela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1941: l’”operazione Barbarossa” e l’intervento americano e la riscossa degli Alleati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 xml:space="preserve">Le sconfitte dell’Asse del 1942-1943 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Lo sbarco in Sicilia degli Alleati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caduta del fascismo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L’armistizio dell’8 settembre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Repubblica Sociale Italiana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Resistenza nel Nord Italia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fine della guerra in Italia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Lo sbarco in Normandia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L’offensiva sovietica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fine della guerra in Europa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conclusione del conflitto nel Pacifico: la bomba atomica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tragedia della Shoah; il processo di Norimberga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conferenza di Postdam e l’assetto post-bellico</w:t>
      </w:r>
    </w:p>
    <w:p w:rsidR="003F13F6" w:rsidRPr="003F13F6" w:rsidRDefault="003F13F6" w:rsidP="003F13F6">
      <w:pPr>
        <w:tabs>
          <w:tab w:val="left" w:pos="7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3F13F6">
        <w:rPr>
          <w:rFonts w:ascii="Arial" w:eastAsia="Times New Roman" w:hAnsi="Arial" w:cs="Arial"/>
          <w:sz w:val="24"/>
          <w:szCs w:val="24"/>
          <w:lang w:eastAsia="it-IT"/>
        </w:rPr>
        <w:t>La nascita dell’ONU</w:t>
      </w:r>
    </w:p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1"/>
        <w:gridCol w:w="925"/>
        <w:gridCol w:w="1395"/>
        <w:gridCol w:w="5498"/>
      </w:tblGrid>
      <w:tr w:rsidR="003F13F6" w:rsidRPr="003F13F6" w:rsidTr="00DA4930">
        <w:trPr>
          <w:jc w:val="center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3F6" w:rsidRPr="003F13F6" w:rsidRDefault="003F13F6" w:rsidP="003F13F6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</w:pPr>
            <w:r w:rsidRPr="003F13F6"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  <w:t>Cesano Maderno, 6I06I2018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3F6" w:rsidRPr="003F13F6" w:rsidRDefault="003F13F6" w:rsidP="003F13F6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</w:pPr>
            <w:r w:rsidRPr="003F13F6"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  <w:t>Firma Docente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3F6" w:rsidRPr="003F13F6" w:rsidRDefault="003F13F6" w:rsidP="003F13F6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</w:pPr>
          </w:p>
        </w:tc>
      </w:tr>
      <w:tr w:rsidR="003F13F6" w:rsidRPr="003F13F6" w:rsidTr="00DA4930">
        <w:trPr>
          <w:jc w:val="center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13F6" w:rsidRPr="003F13F6" w:rsidRDefault="003F13F6" w:rsidP="003F13F6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</w:pPr>
            <w:r w:rsidRPr="003F13F6"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  <w:t>Firme studenti</w:t>
            </w:r>
          </w:p>
        </w:tc>
        <w:tc>
          <w:tcPr>
            <w:tcW w:w="78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F13F6" w:rsidRPr="003F13F6" w:rsidRDefault="003F13F6" w:rsidP="003F13F6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</w:pPr>
          </w:p>
        </w:tc>
      </w:tr>
    </w:tbl>
    <w:p w:rsidR="003F13F6" w:rsidRPr="003F13F6" w:rsidRDefault="003F13F6" w:rsidP="003F13F6">
      <w:pPr>
        <w:spacing w:after="0" w:line="320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:rsidR="003F13F6" w:rsidRPr="003F13F6" w:rsidRDefault="003F13F6" w:rsidP="003F13F6">
      <w:pPr>
        <w:spacing w:after="0" w:line="240" w:lineRule="auto"/>
        <w:jc w:val="both"/>
        <w:rPr>
          <w:rFonts w:ascii="Trebuchet MS" w:eastAsia="Times New Roman" w:hAnsi="Trebuchet MS" w:cs="Times New Roman"/>
          <w:szCs w:val="24"/>
          <w:lang w:eastAsia="it-IT"/>
        </w:rPr>
      </w:pPr>
    </w:p>
    <w:p w:rsidR="003D5C17" w:rsidRDefault="003F13F6" w:rsidP="003F13F6">
      <w:r w:rsidRPr="003F13F6">
        <w:rPr>
          <w:rFonts w:ascii="Trebuchet MS" w:eastAsia="Times New Roman" w:hAnsi="Trebuchet MS" w:cs="Times New Roman"/>
          <w:szCs w:val="24"/>
          <w:lang w:eastAsia="it-IT"/>
        </w:rPr>
        <w:br w:type="page"/>
      </w:r>
      <w:bookmarkStart w:id="0" w:name="_GoBack"/>
      <w:bookmarkEnd w:id="0"/>
    </w:p>
    <w:sectPr w:rsidR="003D5C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3F6"/>
    <w:rsid w:val="003D5C17"/>
    <w:rsid w:val="003F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Giovane</dc:creator>
  <cp:lastModifiedBy>Giovane</cp:lastModifiedBy>
  <cp:revision>1</cp:revision>
  <dcterms:created xsi:type="dcterms:W3CDTF">2018-06-09T14:30:00Z</dcterms:created>
  <dcterms:modified xsi:type="dcterms:W3CDTF">2018-06-09T14:30:00Z</dcterms:modified>
</cp:coreProperties>
</file>