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5E3301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Start w:id="0" w:name="_MON_1683362513"/>
          <w:bookmarkEnd w:id="0"/>
          <w:p w:rsidR="005E3301" w:rsidRDefault="002B388F">
            <w:pPr>
              <w:spacing w:before="80"/>
              <w:jc w:val="center"/>
            </w:pPr>
            <w:r>
              <w:object w:dxaOrig="1543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9.5pt" o:ole="">
                  <v:imagedata r:id="rId7" o:title=""/>
                </v:shape>
                <o:OLEObject Type="Embed" ProgID="Word.Document.12" ShapeID="_x0000_i1025" DrawAspect="Icon" ObjectID="_1746805467" r:id="rId8">
                  <o:FieldCodes>\s</o:FieldCodes>
                </o:OLEObject>
              </w:object>
            </w:r>
            <w:r w:rsidR="006A5E22">
              <w:rPr>
                <w:noProof/>
                <w:lang w:eastAsia="it-IT"/>
              </w:rPr>
              <w:drawing>
                <wp:inline distT="0" distB="0" distL="0" distR="0">
                  <wp:extent cx="361950" cy="361950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3301" w:rsidRDefault="00AD3749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 id="_x0000_i1026" type="#_x0000_t75" style="width:50.25pt;height:28.5pt" o:ole="" filled="t">
                  <v:fill color2="black"/>
                  <v:imagedata r:id="rId10" o:title=""/>
                </v:shape>
                <o:OLEObject Type="Embed" ProgID="PBrush" ShapeID="_x0000_i1026" DrawAspect="Content" ObjectID="_1746805468" r:id="rId11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5E3301" w:rsidRDefault="00AD3749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5E3301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pStyle w:val="Titolo3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5E3301" w:rsidRDefault="005E3301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59"/>
      </w:tblGrid>
      <w:tr w:rsidR="005E3301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2B388F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 xml:space="preserve">1 A </w:t>
            </w:r>
            <w:proofErr w:type="spellStart"/>
            <w:r>
              <w:rPr>
                <w:rFonts w:ascii="Trebuchet MS" w:hAnsi="Trebuchet MS" w:cs="Trebuchet MS"/>
                <w:b/>
                <w:sz w:val="18"/>
                <w:szCs w:val="18"/>
              </w:rPr>
              <w:t>itis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Fisica</w:t>
            </w:r>
            <w:r w:rsidR="002B388F">
              <w:rPr>
                <w:rFonts w:ascii="Trebuchet MS" w:hAnsi="Trebuchet MS" w:cs="Trebuchet MS"/>
                <w:b/>
                <w:sz w:val="18"/>
                <w:szCs w:val="18"/>
              </w:rPr>
              <w:t xml:space="preserve"> e laboratorio</w:t>
            </w:r>
          </w:p>
        </w:tc>
      </w:tr>
      <w:tr w:rsidR="005E3301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2B388F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 xml:space="preserve">Rinaldi Rocco </w:t>
            </w:r>
            <w:r w:rsidR="00B1438F">
              <w:rPr>
                <w:rFonts w:ascii="Trebuchet MS" w:hAnsi="Trebuchet MS" w:cs="Trebuchet MS"/>
                <w:b/>
                <w:sz w:val="18"/>
                <w:szCs w:val="18"/>
              </w:rPr>
              <w:t>Guerriero Gaetano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B1438F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2022/2023</w:t>
            </w:r>
          </w:p>
        </w:tc>
      </w:tr>
    </w:tbl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5E3301" w:rsidRPr="002B388F" w:rsidRDefault="00AD3749">
      <w:pPr>
        <w:numPr>
          <w:ilvl w:val="0"/>
          <w:numId w:val="2"/>
        </w:numPr>
        <w:tabs>
          <w:tab w:val="left" w:pos="709"/>
        </w:tabs>
        <w:spacing w:before="120" w:after="120"/>
        <w:ind w:left="720" w:hanging="357"/>
        <w:rPr>
          <w:rFonts w:ascii="Trebuchet MS" w:hAnsi="Trebuchet MS" w:cs="Trebuchet MS"/>
          <w:b/>
        </w:rPr>
      </w:pPr>
      <w:r w:rsidRPr="002B388F">
        <w:rPr>
          <w:rFonts w:ascii="Trebuchet MS" w:hAnsi="Trebuchet MS" w:cs="Trebuchet MS"/>
          <w:b/>
        </w:rPr>
        <w:t>Osservazioni e misure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misura delle grandezze fisiche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Sistemi di misurazioni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Il Sistema Internazionale o SI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Numeri grandi e numeri piccoli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Misure dirette e indirette</w:t>
      </w:r>
    </w:p>
    <w:p w:rsidR="005E3301" w:rsidRPr="002B388F" w:rsidRDefault="00AD3749">
      <w:pPr>
        <w:numPr>
          <w:ilvl w:val="0"/>
          <w:numId w:val="2"/>
        </w:numPr>
        <w:tabs>
          <w:tab w:val="left" w:pos="709"/>
        </w:tabs>
        <w:spacing w:before="240" w:after="120"/>
        <w:ind w:left="720" w:hanging="357"/>
        <w:rPr>
          <w:rFonts w:ascii="Trebuchet MS" w:hAnsi="Trebuchet MS" w:cs="Trebuchet MS"/>
          <w:b/>
        </w:rPr>
      </w:pPr>
      <w:r w:rsidRPr="002B388F">
        <w:rPr>
          <w:rFonts w:ascii="Trebuchet MS" w:hAnsi="Trebuchet MS" w:cs="Trebuchet MS"/>
          <w:b/>
        </w:rPr>
        <w:t>Elaborazione dei dati in Fisica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Errori di misura, stima dell’errore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precisione di una misura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propagazione degli errori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 cifre significative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Rappresentazione di dati sperimentali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Rappresentazione matematica e grafica di leggi fisiche</w:t>
      </w:r>
    </w:p>
    <w:p w:rsidR="00AD3749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Grandezze direttamente, inversamente proporzionali e in proporzionalità quadratica</w:t>
      </w:r>
    </w:p>
    <w:p w:rsidR="005E3301" w:rsidRPr="002B388F" w:rsidRDefault="00AD3749">
      <w:pPr>
        <w:numPr>
          <w:ilvl w:val="0"/>
          <w:numId w:val="2"/>
        </w:numPr>
        <w:tabs>
          <w:tab w:val="left" w:pos="709"/>
        </w:tabs>
        <w:spacing w:before="240" w:after="120"/>
        <w:ind w:left="720" w:hanging="357"/>
        <w:rPr>
          <w:rFonts w:ascii="Trebuchet MS" w:hAnsi="Trebuchet MS" w:cs="Trebuchet MS"/>
          <w:b/>
        </w:rPr>
      </w:pPr>
      <w:r w:rsidRPr="002B388F">
        <w:rPr>
          <w:rFonts w:ascii="Trebuchet MS" w:hAnsi="Trebuchet MS" w:cs="Trebuchet MS"/>
          <w:b/>
        </w:rPr>
        <w:t>Grandezze vettoriali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Scalari e vettori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Operazioni fra vettori, somma, differenza, prodotto scalare e vettoriale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Scomposizione di un vettore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Lo spostamento: una grandezza fisica per descrivere il movimento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 forze: cause dell’accelerazione o della deformazione dei corpi</w:t>
      </w:r>
    </w:p>
    <w:p w:rsidR="00AD3749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Forze elastiche, forze di attrito</w:t>
      </w:r>
    </w:p>
    <w:p w:rsidR="005E3301" w:rsidRPr="002B388F" w:rsidRDefault="00AD3749">
      <w:pPr>
        <w:numPr>
          <w:ilvl w:val="0"/>
          <w:numId w:val="2"/>
        </w:numPr>
        <w:tabs>
          <w:tab w:val="left" w:pos="709"/>
        </w:tabs>
        <w:spacing w:before="240" w:after="120"/>
        <w:ind w:left="720" w:hanging="357"/>
        <w:rPr>
          <w:rFonts w:ascii="Trebuchet MS" w:hAnsi="Trebuchet MS" w:cs="Trebuchet MS"/>
          <w:b/>
        </w:rPr>
      </w:pPr>
      <w:r w:rsidRPr="002B388F">
        <w:rPr>
          <w:rFonts w:ascii="Trebuchet MS" w:hAnsi="Trebuchet MS" w:cs="Trebuchet MS"/>
          <w:b/>
        </w:rPr>
        <w:t>L’equilibrio dei solidi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L’equilibrio di un punto materiale e condizioni di equilibrio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Momento di una forza e di un sistema di forze</w:t>
      </w:r>
    </w:p>
    <w:p w:rsidR="000E7032" w:rsidRDefault="00AD3749" w:rsidP="000E7032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Condizioni di equilibrio di un corpo rigido</w:t>
      </w:r>
    </w:p>
    <w:p w:rsidR="005E3301" w:rsidRPr="000E7032" w:rsidRDefault="00AD3749" w:rsidP="000E7032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 w:rsidRPr="000E7032">
        <w:rPr>
          <w:rFonts w:ascii="Trebuchet MS" w:hAnsi="Trebuchet MS" w:cs="Trebuchet MS"/>
        </w:rPr>
        <w:lastRenderedPageBreak/>
        <w:t>Leve di primo, di secondo e di terzo genere</w:t>
      </w:r>
    </w:p>
    <w:p w:rsidR="005E3301" w:rsidRDefault="005E3301">
      <w:pPr>
        <w:spacing w:before="120" w:after="120"/>
        <w:rPr>
          <w:rFonts w:ascii="Trebuchet MS" w:hAnsi="Trebuchet MS" w:cs="Trebuchet MS"/>
        </w:rPr>
      </w:pPr>
    </w:p>
    <w:p w:rsidR="005E3301" w:rsidRDefault="005E3301">
      <w:pPr>
        <w:spacing w:before="120" w:after="120"/>
        <w:rPr>
          <w:rFonts w:ascii="Trebuchet MS" w:hAnsi="Trebuchet MS" w:cs="Trebuchet MS"/>
        </w:rPr>
      </w:pPr>
    </w:p>
    <w:p w:rsidR="005E3301" w:rsidRDefault="005E3301">
      <w:pPr>
        <w:spacing w:before="120" w:after="120"/>
        <w:rPr>
          <w:rFonts w:ascii="Trebuchet MS" w:hAnsi="Trebuchet MS" w:cs="Trebuchet MS"/>
        </w:rPr>
      </w:pPr>
    </w:p>
    <w:p w:rsidR="005E3301" w:rsidRPr="002B388F" w:rsidRDefault="00AD3749">
      <w:pPr>
        <w:numPr>
          <w:ilvl w:val="0"/>
          <w:numId w:val="2"/>
        </w:numPr>
        <w:tabs>
          <w:tab w:val="left" w:pos="709"/>
        </w:tabs>
        <w:spacing w:before="240" w:after="120"/>
        <w:ind w:left="720" w:hanging="357"/>
        <w:rPr>
          <w:rFonts w:ascii="Trebuchet MS" w:hAnsi="Trebuchet MS" w:cs="Trebuchet MS"/>
          <w:b/>
        </w:rPr>
      </w:pPr>
      <w:r w:rsidRPr="002B388F">
        <w:rPr>
          <w:rFonts w:ascii="Trebuchet MS" w:hAnsi="Trebuchet MS" w:cs="Trebuchet MS"/>
          <w:b/>
        </w:rPr>
        <w:t>L’equilibrio dei fluidi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 fluidi e la pressione</w:t>
      </w:r>
    </w:p>
    <w:p w:rsidR="00AD3749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pressione atmosferica e sue unità di misura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pressione nei liquidi pesanti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Legge di Pascal, principio di Stevino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pressione atmosferica. Unità di misura della pressione.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Galleggiamento dei corpi. Principio di Archimede.</w:t>
      </w:r>
    </w:p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i/>
          <w:sz w:val="16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5E3301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B1438F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05/06/2023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2B388F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Firma dei Docenti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6A5E22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Rocco Rinaldi</w:t>
            </w:r>
            <w:r w:rsidR="00B1438F">
              <w:rPr>
                <w:rFonts w:ascii="Trebuchet MS" w:hAnsi="Trebuchet MS" w:cs="Trebuchet MS"/>
                <w:sz w:val="18"/>
                <w:szCs w:val="18"/>
              </w:rPr>
              <w:t xml:space="preserve"> Gaetano Guerriero</w:t>
            </w:r>
            <w:bookmarkStart w:id="1" w:name="_GoBack"/>
            <w:bookmarkEnd w:id="1"/>
          </w:p>
        </w:tc>
      </w:tr>
      <w:tr w:rsidR="005E3301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5E3301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  <w:p w:rsidR="005E3301" w:rsidRDefault="005E3301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5E3301" w:rsidRDefault="005E3301">
      <w:pPr>
        <w:tabs>
          <w:tab w:val="left" w:pos="7460"/>
        </w:tabs>
        <w:spacing w:before="200" w:after="200"/>
      </w:pPr>
    </w:p>
    <w:sectPr w:rsidR="005E3301">
      <w:footerReference w:type="default" r:id="rId12"/>
      <w:pgSz w:w="11906" w:h="16838"/>
      <w:pgMar w:top="720" w:right="720" w:bottom="1134" w:left="720" w:header="720" w:footer="22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D5A" w:rsidRDefault="005B3D5A">
      <w:r>
        <w:separator/>
      </w:r>
    </w:p>
  </w:endnote>
  <w:endnote w:type="continuationSeparator" w:id="0">
    <w:p w:rsidR="005B3D5A" w:rsidRDefault="005B3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301" w:rsidRDefault="006A5E22">
    <w:pPr>
      <w:pStyle w:val="Pidipagina"/>
      <w:ind w:right="360"/>
      <w:jc w:val="center"/>
      <w:rPr>
        <w:rFonts w:ascii="Calibri" w:hAnsi="Calibri" w:cs="Calibri"/>
        <w:sz w:val="16"/>
        <w:szCs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0815" cy="173990"/>
              <wp:effectExtent l="6350" t="635" r="381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3301" w:rsidRDefault="00AD3749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B1438F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3.25pt;margin-top:.05pt;width:13.45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UMiA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" stroked="f">
              <v:fill opacity="0"/>
              <v:textbox inset="0,0,0,0">
                <w:txbxContent>
                  <w:p w:rsidR="005E3301" w:rsidRDefault="00AD3749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B1438F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5E3301" w:rsidRDefault="005E330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D5A" w:rsidRDefault="005B3D5A">
      <w:r>
        <w:separator/>
      </w:r>
    </w:p>
  </w:footnote>
  <w:footnote w:type="continuationSeparator" w:id="0">
    <w:p w:rsidR="005B3D5A" w:rsidRDefault="005B3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u w:val="none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490"/>
        </w:tabs>
        <w:ind w:left="502" w:hanging="36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1440" w:hanging="360"/>
      </w:pPr>
      <w:rPr>
        <w:rFonts w:ascii="Courier New" w:hAnsi="Courier New" w:cs="Trebuchet MS"/>
        <w:sz w:val="16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rebuchet MS"/>
        <w:sz w:val="16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rebuchet MS"/>
        <w:sz w:val="16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749"/>
    <w:rsid w:val="00001149"/>
    <w:rsid w:val="000E7032"/>
    <w:rsid w:val="0017174A"/>
    <w:rsid w:val="001E7C51"/>
    <w:rsid w:val="002B388F"/>
    <w:rsid w:val="003E008F"/>
    <w:rsid w:val="005B3D5A"/>
    <w:rsid w:val="005E3301"/>
    <w:rsid w:val="006A5E22"/>
    <w:rsid w:val="006F07C5"/>
    <w:rsid w:val="007D08F5"/>
    <w:rsid w:val="008A77C1"/>
    <w:rsid w:val="00A8133A"/>
    <w:rsid w:val="00A9006E"/>
    <w:rsid w:val="00AD3749"/>
    <w:rsid w:val="00B1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7485E76"/>
  <w15:chartTrackingRefBased/>
  <w15:docId w15:val="{8186C67E-9F44-425A-B254-3AE63958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  <w:i w:val="0"/>
    </w:rPr>
  </w:style>
  <w:style w:type="character" w:customStyle="1" w:styleId="WW8Num1z1">
    <w:name w:val="WW8Num1z1"/>
    <w:rPr>
      <w:rFonts w:hint="default"/>
      <w:u w:val="none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i w:val="0"/>
    </w:rPr>
  </w:style>
  <w:style w:type="character" w:customStyle="1" w:styleId="WW8Num2z1">
    <w:name w:val="WW8Num2z1"/>
    <w:rPr>
      <w:rFonts w:ascii="Trebuchet MS" w:hAnsi="Trebuchet MS" w:cs="Trebuchet MS"/>
      <w:sz w:val="16"/>
      <w:szCs w:val="22"/>
    </w:rPr>
  </w:style>
  <w:style w:type="character" w:customStyle="1" w:styleId="WW8Num2z2">
    <w:name w:val="WW8Num2z2"/>
  </w:style>
  <w:style w:type="character" w:customStyle="1" w:styleId="Carpredefinitoparagrafo2">
    <w:name w:val="Car. predefinito paragrafo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i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  <w:sz w:val="16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 2" w:eastAsia="Times New Roman" w:hAnsi="Wingdings 2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Wingdings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  <w:sz w:val="16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i w:val="0"/>
    </w:rPr>
  </w:style>
  <w:style w:type="character" w:customStyle="1" w:styleId="WW8Num14z1">
    <w:name w:val="WW8Num14z1"/>
    <w:rPr>
      <w:rFonts w:ascii="Symbol" w:hAnsi="Symbol" w:cs="Symbol" w:hint="default"/>
      <w:b/>
      <w:i w:val="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eastAsia="Times New Roman" w:hAnsi="Wingdings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Wingdings" w:hAnsi="Wingdings" w:cs="Wingdings" w:hint="default"/>
      <w:sz w:val="16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/>
      <w:i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i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  <w:b/>
      <w:i w:val="0"/>
    </w:rPr>
  </w:style>
  <w:style w:type="character" w:customStyle="1" w:styleId="WW8Num26z1">
    <w:name w:val="WW8Num26z1"/>
    <w:rPr>
      <w:rFonts w:hint="default"/>
      <w:u w:val="none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  <w:b/>
      <w:i w:val="0"/>
    </w:rPr>
  </w:style>
  <w:style w:type="character" w:customStyle="1" w:styleId="WW8Num27z1">
    <w:name w:val="WW8Num27z1"/>
    <w:rPr>
      <w:rFonts w:hint="default"/>
      <w:u w:val="none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i w:val="0"/>
    </w:rPr>
  </w:style>
  <w:style w:type="character" w:customStyle="1" w:styleId="WW8Num29z1">
    <w:name w:val="WW8Num29z1"/>
    <w:rPr>
      <w:rFonts w:hint="default"/>
      <w:u w:val="none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  <w:rPr>
      <w:rFonts w:hint="default"/>
      <w:u w:val="none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Wingdings" w:hAnsi="Wingdings" w:cs="Wingdings" w:hint="default"/>
      <w:sz w:val="16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i w:val="0"/>
    </w:rPr>
  </w:style>
  <w:style w:type="character" w:customStyle="1" w:styleId="WW8Num33z1">
    <w:name w:val="WW8Num33z1"/>
    <w:rPr>
      <w:rFonts w:hint="default"/>
      <w:u w:val="none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hint="default"/>
      <w:b/>
      <w:i w:val="0"/>
    </w:rPr>
  </w:style>
  <w:style w:type="character" w:customStyle="1" w:styleId="WW8Num38z1">
    <w:name w:val="WW8Num38z1"/>
    <w:rPr>
      <w:rFonts w:hint="default"/>
      <w:u w:val="none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b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  <w:rPr>
      <w:rFonts w:hint="default"/>
      <w:u w:val="none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/>
      <w:i w:val="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Wingdings" w:hAnsi="Wingdings" w:cs="Wingdings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3">
    <w:name w:val="WW8Num42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Corpodeltesto21">
    <w:name w:val="Corpo del testo 21"/>
    <w:basedOn w:val="Normale"/>
    <w:rPr>
      <w:b/>
      <w:bCs/>
      <w:sz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  <w:lang w:val="x-none"/>
    </w:rPr>
  </w:style>
  <w:style w:type="paragraph" w:customStyle="1" w:styleId="p2">
    <w:name w:val="p2"/>
    <w:basedOn w:val="Normale"/>
    <w:pPr>
      <w:tabs>
        <w:tab w:val="left" w:pos="720"/>
      </w:tabs>
      <w:autoSpaceDE w:val="0"/>
      <w:spacing w:line="240" w:lineRule="atLeast"/>
    </w:pPr>
    <w:rPr>
      <w:sz w:val="20"/>
      <w:szCs w:val="20"/>
    </w:rPr>
  </w:style>
  <w:style w:type="paragraph" w:customStyle="1" w:styleId="p4">
    <w:name w:val="p4"/>
    <w:basedOn w:val="Normale"/>
    <w:pPr>
      <w:tabs>
        <w:tab w:val="left" w:pos="240"/>
      </w:tabs>
      <w:autoSpaceDE w:val="0"/>
      <w:spacing w:line="240" w:lineRule="atLeast"/>
      <w:ind w:left="1152" w:hanging="288"/>
      <w:jc w:val="both"/>
    </w:pPr>
    <w:rPr>
      <w:sz w:val="20"/>
      <w:szCs w:val="20"/>
    </w:rPr>
  </w:style>
  <w:style w:type="paragraph" w:customStyle="1" w:styleId="p5">
    <w:name w:val="p5"/>
    <w:basedOn w:val="Normale"/>
    <w:pPr>
      <w:tabs>
        <w:tab w:val="left" w:pos="720"/>
      </w:tabs>
      <w:autoSpaceDE w:val="0"/>
      <w:spacing w:line="240" w:lineRule="atLeast"/>
      <w:jc w:val="both"/>
    </w:pPr>
    <w:rPr>
      <w:sz w:val="20"/>
      <w:szCs w:val="20"/>
    </w:rPr>
  </w:style>
  <w:style w:type="paragraph" w:customStyle="1" w:styleId="p3">
    <w:name w:val="p3"/>
    <w:basedOn w:val="Normale"/>
    <w:pPr>
      <w:tabs>
        <w:tab w:val="left" w:pos="720"/>
      </w:tabs>
      <w:autoSpaceDE w:val="0"/>
      <w:spacing w:line="240" w:lineRule="atLeast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Documento_di_Microsoft_Word.doc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Pasquale</cp:lastModifiedBy>
  <cp:revision>3</cp:revision>
  <cp:lastPrinted>2012-06-04T14:01:00Z</cp:lastPrinted>
  <dcterms:created xsi:type="dcterms:W3CDTF">2022-05-26T16:47:00Z</dcterms:created>
  <dcterms:modified xsi:type="dcterms:W3CDTF">2023-05-28T16:58:00Z</dcterms:modified>
</cp:coreProperties>
</file>