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embeddings/oleObject1.bin" ContentType="application/vnd.openxmlformats-officedocument.oleObject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319" w:type="dxa"/>
        <w:jc w:val="left"/>
        <w:tblInd w:w="10" w:type="dxa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778"/>
        <w:gridCol w:w="1512"/>
        <w:gridCol w:w="8029"/>
      </w:tblGrid>
      <w:tr>
        <w:trPr>
          <w:trHeight w:val="872" w:hRule="atLeast"/>
          <w:cantSplit w:val="true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napToGrid w:val="false"/>
              <w:spacing w:before="80" w:after="0"/>
              <w:jc w:val="center"/>
              <w:rPr/>
            </w:pPr>
            <w:r>
              <w:rPr/>
              <w:drawing>
                <wp:inline distT="0" distB="0" distL="0" distR="0">
                  <wp:extent cx="352425" cy="381000"/>
                  <wp:effectExtent l="0" t="0" r="0" b="0"/>
                  <wp:docPr id="1" name="Pictur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Standard"/>
              <w:snapToGrid w:val="false"/>
              <w:spacing w:before="60" w:after="120"/>
              <w:jc w:val="center"/>
              <w:rPr>
                <w:rFonts w:ascii="Book Antiqua" w:hAnsi="Book Antiqua" w:cs="Book Antiqua"/>
                <w:b/>
                <w:b/>
                <w:sz w:val="28"/>
              </w:rPr>
            </w:pPr>
            <w:r>
              <w:rPr/>
              <w:object w:dxaOrig="3348" w:dyaOrig="1884">
                <v:shape id="ole_rId3" style="width:46.5pt;height:29.25pt" o:ole="">
                  <v:imagedata r:id="rId4" o:title=""/>
                </v:shape>
                <o:OLEObject Type="Embed" ProgID="PBrush" ShapeID="ole_rId3" DrawAspect="Content" ObjectID="_665986577" r:id="rId3"/>
              </w:object>
            </w:r>
          </w:p>
        </w:tc>
        <w:tc>
          <w:tcPr>
            <w:tcW w:w="8029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snapToGrid w:val="false"/>
              <w:spacing w:before="60" w:after="0"/>
              <w:rPr/>
            </w:pPr>
            <w:r>
              <w:rPr>
                <w:rFonts w:cs="Book Antiqua" w:ascii="Book Antiqua" w:hAnsi="Book Antiqua"/>
                <w:b/>
                <w:sz w:val="28"/>
              </w:rPr>
              <w:t xml:space="preserve">I I S  </w:t>
            </w:r>
            <w:r>
              <w:rPr>
                <w:rFonts w:cs="Book Antiqua" w:ascii="Book Antiqua" w:hAnsi="Book Antiqua"/>
                <w:b/>
                <w:i/>
                <w:sz w:val="28"/>
              </w:rPr>
              <w:t>“Ettore Majorana”</w:t>
            </w:r>
          </w:p>
          <w:p>
            <w:pPr>
              <w:pStyle w:val="Standard"/>
              <w:spacing w:before="60" w:after="0"/>
              <w:rPr/>
            </w:pPr>
            <w:r>
              <w:rPr>
                <w:rFonts w:cs="Book Antiqua"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>
        <w:trPr>
          <w:trHeight w:val="256" w:hRule="atLeast"/>
          <w:cantSplit w:val="true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itolo3"/>
              <w:numPr>
                <w:ilvl w:val="2"/>
                <w:numId w:val="2"/>
              </w:numPr>
              <w:snapToGrid w:val="false"/>
              <w:spacing w:before="120" w:after="40"/>
              <w:rPr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>
      <w:pPr>
        <w:pStyle w:val="BodyText2"/>
        <w:jc w:val="center"/>
        <w:rPr>
          <w:rFonts w:ascii="Palatino Linotype" w:hAnsi="Palatino Linotype" w:cs="Palatino Linotype"/>
          <w:sz w:val="16"/>
          <w:szCs w:val="16"/>
        </w:rPr>
      </w:pPr>
      <w:r>
        <w:rPr>
          <w:rFonts w:cs="Palatino Linotype" w:ascii="Palatino Linotype" w:hAnsi="Palatino Linotype"/>
          <w:sz w:val="16"/>
          <w:szCs w:val="16"/>
        </w:rPr>
      </w:r>
    </w:p>
    <w:tbl>
      <w:tblPr>
        <w:tblW w:w="10462" w:type="dxa"/>
        <w:jc w:val="left"/>
        <w:tblInd w:w="10" w:type="dxa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1020"/>
        <w:gridCol w:w="4138"/>
        <w:gridCol w:w="1134"/>
        <w:gridCol w:w="4169"/>
      </w:tblGrid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2DI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eastAsia="Trebuchet MS" w:cs="Trebuchet MS" w:ascii="Trebuchet MS" w:hAnsi="Trebuchet MS"/>
                <w:sz w:val="18"/>
                <w:szCs w:val="18"/>
              </w:rPr>
              <w:t xml:space="preserve"> </w:t>
            </w:r>
            <w:r>
              <w:rPr>
                <w:rFonts w:cs="Trebuchet MS" w:ascii="Trebuchet MS" w:hAnsi="Trebuchet MS"/>
                <w:sz w:val="18"/>
                <w:szCs w:val="18"/>
              </w:rPr>
              <w:t>DISCIPLINA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DIRITTO ED ECONOMIA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Prof. Damiano Mary Antonia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2019/2020</w:t>
            </w:r>
          </w:p>
        </w:tc>
      </w:tr>
    </w:tbl>
    <w:p>
      <w:pPr>
        <w:pStyle w:val="Standard"/>
        <w:tabs>
          <w:tab w:val="clear" w:pos="708"/>
          <w:tab w:val="left" w:pos="7460" w:leader="none"/>
        </w:tabs>
        <w:spacing w:before="57" w:after="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center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b/>
          <w:sz w:val="22"/>
          <w:szCs w:val="22"/>
        </w:rPr>
        <w:t>Economia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center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Normale1"/>
        <w:rPr>
          <w:b/>
          <w:b/>
          <w:sz w:val="20"/>
          <w:szCs w:val="20"/>
        </w:rPr>
      </w:pPr>
      <w:r>
        <w:rPr>
          <w:sz w:val="20"/>
          <w:szCs w:val="20"/>
        </w:rPr>
        <w:t xml:space="preserve">Mod 1 </w:t>
      </w:r>
      <w:r>
        <w:rPr>
          <w:b/>
          <w:sz w:val="20"/>
          <w:szCs w:val="20"/>
        </w:rPr>
        <w:t>Produzione, impresa e mercato</w:t>
      </w:r>
    </w:p>
    <w:p>
      <w:pPr>
        <w:pStyle w:val="Normale1"/>
        <w:rPr/>
      </w:pPr>
      <w:r>
        <w:rPr>
          <w:sz w:val="20"/>
          <w:szCs w:val="20"/>
        </w:rPr>
        <w:t>UD1. La produzione e i suoi fattori.</w:t>
      </w:r>
    </w:p>
    <w:p>
      <w:pPr>
        <w:pStyle w:val="Normale1"/>
        <w:ind w:left="223" w:firstLine="180"/>
        <w:rPr/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  <w:t xml:space="preserve">La remunerazione dei fattori produttivi.                                  </w:t>
      </w:r>
    </w:p>
    <w:p>
      <w:pPr>
        <w:pStyle w:val="Normale1"/>
        <w:ind w:left="223" w:firstLine="180"/>
        <w:rPr/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 xml:space="preserve">La combinazione dei fattori.                                                       </w:t>
      </w:r>
    </w:p>
    <w:p>
      <w:pPr>
        <w:pStyle w:val="Normale1"/>
        <w:rPr/>
      </w:pPr>
      <w:r>
        <w:rPr>
          <w:sz w:val="20"/>
          <w:szCs w:val="20"/>
        </w:rPr>
        <w:t>UD2. L’impresa.</w:t>
      </w:r>
    </w:p>
    <w:p>
      <w:pPr>
        <w:pStyle w:val="Normale1"/>
        <w:ind w:left="223" w:firstLine="180"/>
        <w:rPr/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>Nozione e tipologie di imprese.</w:t>
      </w:r>
    </w:p>
    <w:p>
      <w:pPr>
        <w:pStyle w:val="Normale1"/>
        <w:rPr/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ab/>
        <w:t>Gruppi di imprese.</w:t>
      </w:r>
    </w:p>
    <w:p>
      <w:pPr>
        <w:pStyle w:val="Normale1"/>
        <w:ind w:left="223" w:firstLine="180"/>
        <w:rPr/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>Le multinazionali .</w:t>
      </w:r>
    </w:p>
    <w:p>
      <w:pPr>
        <w:pStyle w:val="Normale1"/>
        <w:rPr/>
      </w:pPr>
      <w:r>
        <w:rPr>
          <w:sz w:val="20"/>
          <w:szCs w:val="20"/>
        </w:rPr>
        <w:t>UD3. Il mercato e le sue leggi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Il mercato e la sua funzione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Tipi di mercato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>Il prezzo e la sua formazione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La domanda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>L’Offerta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Il prezzo di equilibrio</w:t>
      </w:r>
    </w:p>
    <w:p>
      <w:pPr>
        <w:pStyle w:val="Normale1"/>
        <w:rPr/>
      </w:pPr>
      <w:r>
        <w:rPr>
          <w:sz w:val="20"/>
          <w:szCs w:val="20"/>
        </w:rPr>
        <w:t>UD4. Le forme di mercato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Che cosa sono?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>La libera concorrenza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Il monopolio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>La concorrenza monopolistica</w:t>
      </w:r>
    </w:p>
    <w:p>
      <w:pPr>
        <w:pStyle w:val="Normale1"/>
        <w:tabs>
          <w:tab w:val="clear" w:pos="708"/>
          <w:tab w:val="left" w:pos="7460" w:leader="none"/>
        </w:tabs>
        <w:spacing w:before="57" w:after="0"/>
        <w:ind w:left="223" w:hanging="0"/>
        <w:jc w:val="both"/>
        <w:rPr>
          <w:rFonts w:eastAsia="Calibri" w:cs="Calibri"/>
          <w:sz w:val="20"/>
          <w:szCs w:val="20"/>
        </w:rPr>
      </w:pPr>
      <w:r>
        <w:rPr>
          <w:rFonts w:eastAsia="Calibri" w:cs="Calibri" w:ascii="Calibri" w:hAnsi="Calibri"/>
          <w:b/>
          <w:sz w:val="20"/>
          <w:szCs w:val="20"/>
        </w:rPr>
        <w:t xml:space="preserve">          </w:t>
      </w:r>
      <w:r>
        <w:rPr>
          <w:rFonts w:eastAsia="Calibri" w:cs="Calibri"/>
          <w:sz w:val="20"/>
          <w:szCs w:val="20"/>
        </w:rPr>
        <w:t>La concentrazione dell’offerta e l’Antitrust (cenni)</w:t>
      </w:r>
    </w:p>
    <w:p>
      <w:pPr>
        <w:pStyle w:val="Normale1"/>
        <w:tabs>
          <w:tab w:val="clear" w:pos="708"/>
          <w:tab w:val="left" w:pos="7460" w:leader="none"/>
        </w:tabs>
        <w:spacing w:before="57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Mod 2 </w:t>
      </w:r>
      <w:r>
        <w:rPr>
          <w:b/>
          <w:sz w:val="20"/>
          <w:szCs w:val="20"/>
        </w:rPr>
        <w:t>La ricchezza degli Stati e i cicli economici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UD1. Il prodotto e il reddito nazionale                                                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 xml:space="preserve">La relazione tra produzione e reddito                                           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Il Prodotto interno lordo (PIL)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Il Prodotto nazionale lordo (PNL)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Reddito interno lordo (RIL) e Reddito medio pro capite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>UD2. La ripartizione del reddito interno lordo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Reddito da lavoro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Reddito da proprietà</w:t>
      </w:r>
    </w:p>
    <w:p>
      <w:pPr>
        <w:pStyle w:val="Normale1"/>
        <w:tabs>
          <w:tab w:val="clear" w:pos="708"/>
          <w:tab w:val="left" w:pos="648" w:leader="none"/>
        </w:tabs>
        <w:ind w:left="223" w:hanging="0"/>
        <w:rPr/>
      </w:pPr>
      <w:r>
        <w:rPr>
          <w:sz w:val="20"/>
          <w:szCs w:val="20"/>
        </w:rPr>
        <w:tab/>
        <w:t>Reddito d’impresa</w:t>
      </w:r>
    </w:p>
    <w:p>
      <w:pPr>
        <w:pStyle w:val="Normale1"/>
        <w:tabs>
          <w:tab w:val="clear" w:pos="708"/>
          <w:tab w:val="left" w:pos="648" w:leader="none"/>
        </w:tabs>
        <w:ind w:left="223" w:hanging="0"/>
        <w:rPr/>
      </w:pPr>
      <w:r>
        <w:rPr>
          <w:sz w:val="20"/>
          <w:szCs w:val="20"/>
        </w:rPr>
        <w:tab/>
        <w:t xml:space="preserve">Reddito di trasferimento </w:t>
      </w:r>
    </w:p>
    <w:p>
      <w:pPr>
        <w:pStyle w:val="Normale1"/>
        <w:tabs>
          <w:tab w:val="clear" w:pos="708"/>
          <w:tab w:val="left" w:pos="648" w:leader="none"/>
        </w:tabs>
        <w:ind w:left="223" w:hanging="0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ab/>
        <w:t>La questione della redistribuzione del reddito</w:t>
      </w:r>
    </w:p>
    <w:p>
      <w:pPr>
        <w:pStyle w:val="Normale1"/>
        <w:tabs>
          <w:tab w:val="clear" w:pos="708"/>
          <w:tab w:val="left" w:pos="648" w:leader="none"/>
        </w:tabs>
        <w:rPr/>
      </w:pPr>
      <w:r>
        <w:rPr>
          <w:rFonts w:eastAsia="Calibri" w:cs="Calibri"/>
          <w:sz w:val="20"/>
          <w:szCs w:val="20"/>
        </w:rPr>
        <w:t xml:space="preserve">Mod 3 </w:t>
      </w:r>
      <w:r>
        <w:rPr>
          <w:rFonts w:eastAsia="Calibri" w:cs="Calibri"/>
          <w:b/>
          <w:sz w:val="20"/>
          <w:szCs w:val="20"/>
        </w:rPr>
        <w:t>La moneta e il suo valore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UD1. La moneta                                                                                  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 xml:space="preserve">Origini e utilità della moneta                                                          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Tipi di moneta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>UD2. Il valore della moneta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Valore nominale e valore reale</w:t>
      </w:r>
    </w:p>
    <w:p>
      <w:pPr>
        <w:pStyle w:val="Normale1"/>
        <w:ind w:left="223" w:firstLine="485"/>
        <w:rPr>
          <w:sz w:val="20"/>
          <w:szCs w:val="20"/>
        </w:rPr>
      </w:pPr>
      <w:r>
        <w:rPr>
          <w:sz w:val="20"/>
          <w:szCs w:val="20"/>
        </w:rPr>
        <w:t>L’inflazione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La deflazione</w:t>
      </w:r>
    </w:p>
    <w:p>
      <w:pPr>
        <w:pStyle w:val="Normale1"/>
        <w:ind w:left="223" w:firstLine="485"/>
        <w:rPr>
          <w:sz w:val="20"/>
          <w:szCs w:val="20"/>
        </w:rPr>
      </w:pPr>
      <w:r>
        <w:rPr>
          <w:sz w:val="20"/>
          <w:szCs w:val="20"/>
        </w:rPr>
        <w:t>Il mercato della moneta</w:t>
      </w:r>
    </w:p>
    <w:p>
      <w:pPr>
        <w:pStyle w:val="Normale1"/>
        <w:ind w:left="223" w:firstLine="485"/>
        <w:rPr>
          <w:sz w:val="20"/>
          <w:szCs w:val="20"/>
        </w:rPr>
      </w:pPr>
      <w:r>
        <w:rPr>
          <w:sz w:val="20"/>
          <w:szCs w:val="20"/>
        </w:rPr>
        <w:t>Il mercato monetario</w:t>
      </w:r>
    </w:p>
    <w:p>
      <w:pPr>
        <w:pStyle w:val="Normale1"/>
        <w:ind w:left="223" w:firstLine="485"/>
        <w:rPr/>
      </w:pPr>
      <w:r>
        <w:rPr>
          <w:sz w:val="20"/>
          <w:szCs w:val="20"/>
        </w:rPr>
        <w:t>Il mercato finanziario</w:t>
      </w:r>
    </w:p>
    <w:p>
      <w:pPr>
        <w:pStyle w:val="Normale1"/>
        <w:tabs>
          <w:tab w:val="clear" w:pos="708"/>
          <w:tab w:val="left" w:pos="648" w:leader="none"/>
        </w:tabs>
        <w:spacing w:before="57" w:after="0"/>
        <w:ind w:left="223" w:hanging="0"/>
        <w:jc w:val="both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</w:rPr>
      </w:r>
    </w:p>
    <w:p>
      <w:pPr>
        <w:pStyle w:val="Normale1"/>
        <w:tabs>
          <w:tab w:val="clear" w:pos="708"/>
          <w:tab w:val="left" w:pos="648" w:leader="none"/>
        </w:tabs>
        <w:spacing w:before="57" w:after="0"/>
        <w:ind w:left="223" w:hanging="0"/>
        <w:jc w:val="center"/>
        <w:rPr>
          <w:rFonts w:ascii="Calibri" w:hAnsi="Calibri" w:eastAsia="Calibri" w:cs="Calibri"/>
          <w:b/>
          <w:b/>
          <w:sz w:val="20"/>
          <w:szCs w:val="20"/>
        </w:rPr>
      </w:pPr>
      <w:r>
        <w:rPr>
          <w:rFonts w:eastAsia="Calibri" w:cs="Calibri" w:ascii="Calibri" w:hAnsi="Calibri"/>
          <w:b/>
          <w:sz w:val="20"/>
          <w:szCs w:val="20"/>
        </w:rPr>
        <w:t>DIRITTO</w:t>
      </w:r>
    </w:p>
    <w:p>
      <w:pPr>
        <w:pStyle w:val="Normale1"/>
        <w:tabs>
          <w:tab w:val="clear" w:pos="708"/>
          <w:tab w:val="left" w:pos="648" w:leader="none"/>
        </w:tabs>
        <w:spacing w:before="57" w:after="0"/>
        <w:ind w:left="223" w:hanging="0"/>
        <w:jc w:val="center"/>
        <w:rPr/>
      </w:pPr>
      <w:r>
        <w:rPr/>
      </w:r>
    </w:p>
    <w:p>
      <w:pPr>
        <w:pStyle w:val="Normale1"/>
        <w:rPr>
          <w:sz w:val="20"/>
          <w:szCs w:val="20"/>
        </w:rPr>
      </w:pPr>
      <w:r>
        <w:rPr>
          <w:sz w:val="20"/>
          <w:szCs w:val="20"/>
        </w:rPr>
        <w:t xml:space="preserve">Mod 1 </w:t>
      </w:r>
      <w:r>
        <w:rPr>
          <w:b/>
          <w:sz w:val="20"/>
          <w:szCs w:val="20"/>
        </w:rPr>
        <w:t>La Costituzione italiana</w:t>
      </w:r>
      <w:r>
        <w:rPr>
          <w:sz w:val="20"/>
          <w:szCs w:val="20"/>
        </w:rPr>
        <w:t xml:space="preserve">                                                                          </w:t>
      </w:r>
    </w:p>
    <w:p>
      <w:pPr>
        <w:pStyle w:val="Normale1"/>
        <w:rPr/>
      </w:pPr>
      <w:r>
        <w:rPr>
          <w:sz w:val="20"/>
          <w:szCs w:val="20"/>
        </w:rPr>
        <w:t>UD1.Le specie di Costituzioni</w:t>
        <w:tab/>
      </w:r>
    </w:p>
    <w:p>
      <w:pPr>
        <w:pStyle w:val="Normale1"/>
        <w:ind w:left="423" w:hanging="0"/>
        <w:rPr/>
      </w:pPr>
      <w:r>
        <w:rPr>
          <w:sz w:val="20"/>
          <w:szCs w:val="20"/>
        </w:rPr>
        <w:tab/>
        <w:t>Dallo Statuto albertino alla Costituzione repubblicana</w:t>
      </w:r>
    </w:p>
    <w:p>
      <w:pPr>
        <w:pStyle w:val="Normale1"/>
        <w:ind w:left="423" w:hanging="0"/>
        <w:rPr/>
      </w:pPr>
      <w:r>
        <w:rPr>
          <w:sz w:val="20"/>
          <w:szCs w:val="20"/>
        </w:rPr>
        <w:tab/>
        <w:t>Caratteri della Costituzione</w:t>
      </w:r>
    </w:p>
    <w:p>
      <w:pPr>
        <w:pStyle w:val="Normale1"/>
        <w:ind w:left="423" w:hanging="0"/>
        <w:rPr/>
      </w:pPr>
      <w:r>
        <w:rPr>
          <w:sz w:val="20"/>
          <w:szCs w:val="20"/>
        </w:rPr>
        <w:tab/>
        <w:t>La struttura della Costituzione</w:t>
      </w:r>
    </w:p>
    <w:p>
      <w:pPr>
        <w:pStyle w:val="Normale1"/>
        <w:tabs>
          <w:tab w:val="clear" w:pos="708"/>
          <w:tab w:val="left" w:pos="648" w:leader="none"/>
        </w:tabs>
        <w:spacing w:before="57" w:after="0"/>
        <w:ind w:left="423" w:hanging="0"/>
        <w:jc w:val="both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ab/>
        <w:t xml:space="preserve"> I Principi fondamentali </w:t>
      </w:r>
    </w:p>
    <w:p>
      <w:pPr>
        <w:pStyle w:val="Normale1"/>
        <w:tabs>
          <w:tab w:val="clear" w:pos="708"/>
          <w:tab w:val="left" w:pos="648" w:leader="none"/>
        </w:tabs>
        <w:spacing w:before="57"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Mod 2 </w:t>
      </w:r>
      <w:r>
        <w:rPr>
          <w:b/>
          <w:sz w:val="20"/>
          <w:szCs w:val="20"/>
        </w:rPr>
        <w:t>La Costituzione e i cittadini</w:t>
      </w:r>
    </w:p>
    <w:p>
      <w:pPr>
        <w:pStyle w:val="Normale1"/>
        <w:rPr/>
      </w:pPr>
      <w:r>
        <w:rPr>
          <w:sz w:val="20"/>
          <w:szCs w:val="20"/>
        </w:rPr>
        <w:t xml:space="preserve">UD1. La prima parte della Costituzione                                                    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ab/>
        <w:t xml:space="preserve"> I rapporti civili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ab/>
        <w:t xml:space="preserve"> I rapporti etico-sociali</w:t>
      </w:r>
    </w:p>
    <w:p>
      <w:pPr>
        <w:pStyle w:val="Normale1"/>
        <w:rPr/>
      </w:pPr>
      <w:r>
        <w:rPr>
          <w:sz w:val="20"/>
          <w:szCs w:val="20"/>
        </w:rPr>
        <w:t>UD2. I rapporti economici e politici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I rapporti economici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I rapporti politici</w:t>
      </w:r>
    </w:p>
    <w:p>
      <w:pPr>
        <w:pStyle w:val="Normale1"/>
        <w:ind w:left="223" w:hanging="0"/>
        <w:rPr/>
      </w:pPr>
      <w:r>
        <w:rPr>
          <w:rFonts w:eastAsia="Calibri" w:cs="Calibri" w:ascii="Calibri" w:hAnsi="Calibri"/>
          <w:b/>
          <w:sz w:val="20"/>
          <w:szCs w:val="20"/>
        </w:rPr>
        <w:t xml:space="preserve">    </w:t>
      </w:r>
      <w:r>
        <w:rPr>
          <w:rFonts w:eastAsia="Calibri" w:cs="Calibri"/>
          <w:sz w:val="20"/>
          <w:szCs w:val="20"/>
        </w:rPr>
        <w:t xml:space="preserve"> </w:t>
      </w:r>
      <w:r>
        <w:rPr>
          <w:rFonts w:eastAsia="Calibri" w:cs="Calibri"/>
          <w:sz w:val="20"/>
          <w:szCs w:val="20"/>
        </w:rPr>
        <w:tab/>
        <w:t xml:space="preserve"> I doveri dei cittadini</w:t>
      </w:r>
    </w:p>
    <w:p>
      <w:pPr>
        <w:pStyle w:val="Normale1"/>
        <w:rPr>
          <w:sz w:val="20"/>
          <w:szCs w:val="20"/>
        </w:rPr>
      </w:pPr>
      <w:r>
        <w:rPr>
          <w:sz w:val="20"/>
          <w:szCs w:val="20"/>
        </w:rPr>
        <w:t xml:space="preserve">Mod 3 </w:t>
      </w:r>
      <w:r>
        <w:rPr>
          <w:b/>
          <w:sz w:val="20"/>
          <w:szCs w:val="20"/>
        </w:rPr>
        <w:t>L’ordinamento della Repubblica</w:t>
      </w:r>
    </w:p>
    <w:p>
      <w:pPr>
        <w:pStyle w:val="Normale1"/>
        <w:rPr/>
      </w:pPr>
      <w:r>
        <w:rPr>
          <w:sz w:val="20"/>
          <w:szCs w:val="20"/>
        </w:rPr>
        <w:t xml:space="preserve">UD1. Il Parlamento, il Governo e il Presidente della Repubblica      </w:t>
      </w:r>
    </w:p>
    <w:p>
      <w:pPr>
        <w:pStyle w:val="Normale1"/>
        <w:rPr/>
      </w:pPr>
      <w:r>
        <w:rPr>
          <w:sz w:val="20"/>
          <w:szCs w:val="20"/>
        </w:rPr>
        <w:t xml:space="preserve">        </w:t>
      </w:r>
      <w:r>
        <w:rPr>
          <w:sz w:val="20"/>
          <w:szCs w:val="20"/>
        </w:rPr>
        <w:tab/>
        <w:t xml:space="preserve"> Gli organi costituzionali                                                       </w:t>
      </w:r>
    </w:p>
    <w:p>
      <w:pPr>
        <w:pStyle w:val="Normale1"/>
        <w:rPr/>
      </w:pPr>
      <w:r>
        <w:rPr>
          <w:sz w:val="20"/>
          <w:szCs w:val="20"/>
        </w:rPr>
        <w:t xml:space="preserve">        </w:t>
      </w:r>
      <w:r>
        <w:rPr>
          <w:sz w:val="20"/>
          <w:szCs w:val="20"/>
        </w:rPr>
        <w:tab/>
        <w:t xml:space="preserve"> Il Parlamento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  <w:t xml:space="preserve"> L’iter legislativo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Il Governo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Il Presidente della Repubblica</w:t>
      </w:r>
    </w:p>
    <w:p>
      <w:pPr>
        <w:pStyle w:val="Normale1"/>
        <w:rPr/>
      </w:pPr>
      <w:r>
        <w:rPr>
          <w:sz w:val="20"/>
          <w:szCs w:val="20"/>
        </w:rPr>
        <w:t>UD2. La Magistratura e la Corte costituzionale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  <w:t xml:space="preserve">La Magistratura </w:t>
      </w:r>
    </w:p>
    <w:p>
      <w:pPr>
        <w:pStyle w:val="Normale1"/>
        <w:ind w:left="223" w:hanging="0"/>
        <w:rPr/>
      </w:pP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tab/>
        <w:t>I procedimenti giudiziari</w:t>
      </w:r>
    </w:p>
    <w:p>
      <w:pPr>
        <w:pStyle w:val="Normale1"/>
        <w:tabs>
          <w:tab w:val="clear" w:pos="708"/>
          <w:tab w:val="left" w:pos="648" w:leader="none"/>
        </w:tabs>
        <w:spacing w:before="57" w:after="0"/>
        <w:ind w:left="223" w:hanging="0"/>
        <w:jc w:val="both"/>
        <w:rPr/>
      </w:pPr>
      <w:r>
        <w:rPr>
          <w:rFonts w:eastAsia="Calibri" w:cs="Calibri" w:ascii="Calibri" w:hAnsi="Calibri"/>
          <w:b/>
          <w:sz w:val="20"/>
          <w:szCs w:val="20"/>
        </w:rPr>
        <w:t xml:space="preserve">       </w:t>
      </w:r>
      <w:r>
        <w:rPr>
          <w:rFonts w:eastAsia="Calibri" w:cs="Calibri" w:ascii="Calibri" w:hAnsi="Calibri"/>
          <w:b/>
          <w:sz w:val="20"/>
          <w:szCs w:val="20"/>
        </w:rPr>
        <w:tab/>
      </w:r>
      <w:r>
        <w:rPr>
          <w:rFonts w:eastAsia="Calibri" w:cs="Calibri" w:ascii="Calibri" w:hAnsi="Calibri"/>
          <w:sz w:val="20"/>
          <w:szCs w:val="20"/>
        </w:rPr>
        <w:t xml:space="preserve"> </w:t>
      </w:r>
      <w:r>
        <w:rPr>
          <w:rFonts w:eastAsia="Calibri" w:cs="Calibri"/>
          <w:sz w:val="20"/>
          <w:szCs w:val="20"/>
        </w:rPr>
        <w:t xml:space="preserve">La Corte costituzionale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Arial" w:hAnsi="Arial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Nel </w:t>
      </w:r>
      <w:r>
        <w:rPr>
          <w:rFonts w:eastAsia="Calibri" w:cs="Arial" w:ascii="Arial" w:hAnsi="Arial"/>
          <w:sz w:val="20"/>
          <w:szCs w:val="20"/>
        </w:rPr>
        <w:t>mese di febbraio, il programma curricolare è stato integrato co</w:t>
      </w:r>
      <w:r>
        <w:rPr>
          <w:rFonts w:eastAsia="Calibri" w:cs="Arial" w:ascii="Arial" w:hAnsi="Arial"/>
          <w:sz w:val="20"/>
          <w:szCs w:val="20"/>
        </w:rPr>
        <w:t xml:space="preserve">n l’inizio </w:t>
      </w:r>
      <w:r>
        <w:rPr>
          <w:rFonts w:eastAsia="Calibri"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  <w:sz w:val="20"/>
          <w:szCs w:val="20"/>
        </w:rPr>
        <w:t xml:space="preserve">del </w:t>
      </w:r>
      <w:r>
        <w:rPr>
          <w:rFonts w:eastAsia="Calibri" w:cs="Arial" w:ascii="Arial" w:hAnsi="Arial"/>
          <w:sz w:val="20"/>
          <w:szCs w:val="20"/>
        </w:rPr>
        <w:t xml:space="preserve">progetto legalità “Il diritto alla privacy e il mondo del web: usi, abusi e dipendenza” </w:t>
      </w:r>
      <w:r>
        <w:rPr>
          <w:rFonts w:eastAsia="Calibri" w:cs="Arial" w:ascii="Arial" w:hAnsi="Arial"/>
          <w:sz w:val="20"/>
          <w:szCs w:val="20"/>
        </w:rPr>
        <w:t>che però è stato sospeso e poi non portato a termine a causa dell’emergenza COVID-19.</w:t>
      </w:r>
      <w:r>
        <w:rPr>
          <w:rFonts w:eastAsia="Calibri" w:cs="Arial" w:ascii="Arial" w:hAnsi="Arial"/>
          <w:sz w:val="20"/>
          <w:szCs w:val="20"/>
        </w:rPr>
        <w:t xml:space="preserve"> 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jc w:val="both"/>
        <w:rPr/>
      </w:pPr>
      <w:r>
        <w:rPr>
          <w:rFonts w:eastAsia="Calibri" w:cs="Calibri" w:ascii="Calibri" w:hAnsi="Calibri"/>
          <w:sz w:val="22"/>
          <w:szCs w:val="22"/>
        </w:rPr>
        <w:t>Testo: A. Martignago, R. Mistroni “REPORT diritto ed economia” Ed: Scuola &amp; Azienda. Vol 1 e vol 2</w:t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>
          <w:rFonts w:ascii="Palatino Linotype" w:hAnsi="Palatino Linotype" w:eastAsia="Calibri" w:cs="Palatino Linotype"/>
          <w:i/>
          <w:i/>
          <w:sz w:val="16"/>
          <w:szCs w:val="22"/>
          <w:highlight w:val="yellow"/>
        </w:rPr>
      </w:pPr>
      <w:r>
        <w:rPr>
          <w:rFonts w:eastAsia="Calibri" w:cs="Palatino Linotype" w:ascii="Palatino Linotype" w:hAnsi="Palatino Linotype"/>
          <w:i/>
          <w:sz w:val="16"/>
          <w:szCs w:val="22"/>
          <w:highlight w:val="yellow"/>
        </w:rPr>
      </w:r>
    </w:p>
    <w:tbl>
      <w:tblPr>
        <w:tblW w:w="10462" w:type="dxa"/>
        <w:jc w:val="left"/>
        <w:tblInd w:w="10" w:type="dxa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2110"/>
        <w:gridCol w:w="990"/>
        <w:gridCol w:w="1436"/>
        <w:gridCol w:w="5926"/>
      </w:tblGrid>
      <w:tr>
        <w:trPr/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Cesano Maderno,  05 I 06 I 2020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Mary Antonia Damiano</w:t>
            </w:r>
          </w:p>
        </w:tc>
      </w:tr>
      <w:tr>
        <w:trPr/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 xml:space="preserve">Firme di 2 studenti </w:t>
            </w:r>
          </w:p>
        </w:tc>
        <w:tc>
          <w:tcPr>
            <w:tcW w:w="8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</w:tc>
      </w:tr>
    </w:tbl>
    <w:p>
      <w:pPr>
        <w:pStyle w:val="Standard"/>
        <w:tabs>
          <w:tab w:val="clear" w:pos="708"/>
          <w:tab w:val="left" w:pos="7460" w:leader="none"/>
        </w:tabs>
        <w:spacing w:before="200" w:after="200"/>
        <w:rPr/>
      </w:pPr>
      <w:r>
        <w:rPr/>
      </w:r>
    </w:p>
    <w:sectPr>
      <w:footerReference w:type="default" r:id="rId5"/>
      <w:type w:val="nextPage"/>
      <w:pgSz w:w="11906" w:h="16838"/>
      <w:pgMar w:left="470" w:right="470" w:header="0" w:top="470" w:footer="215" w:bottom="55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ook Antiqua">
    <w:charset w:val="00"/>
    <w:family w:val="swiss"/>
    <w:pitch w:val="variable"/>
  </w:font>
  <w:font w:name="Trebuchet MS">
    <w:charset w:val="00"/>
    <w:family w:val="swiss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Wingdings 2">
    <w:charset w:val="00"/>
    <w:family w:val="roman"/>
    <w:pitch w:val="variable"/>
  </w:font>
  <w:font w:name="Book Antiqu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tino Linotype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olo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itolo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paragraph" w:styleId="Titolo1">
    <w:name w:val="Heading 1"/>
    <w:basedOn w:val="Standard"/>
    <w:next w:val="Standard"/>
    <w:qFormat/>
    <w:pPr>
      <w:keepNext w:val="true"/>
      <w:numPr>
        <w:ilvl w:val="0"/>
        <w:numId w:val="1"/>
      </w:numPr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Standard"/>
    <w:next w:val="Standard"/>
    <w:qFormat/>
    <w:pPr>
      <w:keepNext w:val="true"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Pagenumber">
    <w:name w:val="page number"/>
    <w:basedOn w:val="DefaultParagraphFont"/>
    <w:qFormat/>
    <w:rPr/>
  </w:style>
  <w:style w:type="character" w:styleId="WW8Num35z1" w:customStyle="1">
    <w:name w:val="WW8Num35z1"/>
    <w:qFormat/>
    <w:rPr>
      <w:u w:val="none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8z3" w:customStyle="1">
    <w:name w:val="WW8Num8z3"/>
    <w:qFormat/>
    <w:rPr>
      <w:rFonts w:ascii="Symbol" w:hAnsi="Symbol" w:cs="Symbol"/>
    </w:rPr>
  </w:style>
  <w:style w:type="character" w:styleId="WW8Num32z2" w:customStyle="1">
    <w:name w:val="WW8Num32z2"/>
    <w:qFormat/>
    <w:rPr>
      <w:rFonts w:ascii="Wingdings" w:hAnsi="Wingdings" w:cs="Wingdings"/>
    </w:rPr>
  </w:style>
  <w:style w:type="character" w:styleId="WW8Num22z0" w:customStyle="1">
    <w:name w:val="WW8Num22z0"/>
    <w:qFormat/>
    <w:rPr>
      <w:b/>
      <w:i w:val="false"/>
    </w:rPr>
  </w:style>
  <w:style w:type="character" w:styleId="WW8Num25z1" w:customStyle="1">
    <w:name w:val="WW8Num25z1"/>
    <w:qFormat/>
    <w:rPr>
      <w:u w:val="none"/>
    </w:rPr>
  </w:style>
  <w:style w:type="character" w:styleId="WW8Num12z0" w:customStyle="1">
    <w:name w:val="WW8Num12z0"/>
    <w:qFormat/>
    <w:rPr>
      <w:b/>
      <w:i w:val="false"/>
    </w:rPr>
  </w:style>
  <w:style w:type="character" w:styleId="WW8Num5z0" w:customStyle="1">
    <w:name w:val="WW8Num5z0"/>
    <w:qFormat/>
    <w:rPr>
      <w:b/>
      <w:i w:val="false"/>
    </w:rPr>
  </w:style>
  <w:style w:type="character" w:styleId="WW8Num12z1" w:customStyle="1">
    <w:name w:val="WW8Num12z1"/>
    <w:qFormat/>
    <w:rPr>
      <w:rFonts w:ascii="Symbol" w:hAnsi="Symbol" w:cs="Symbol"/>
      <w:b/>
      <w:i w:val="false"/>
    </w:rPr>
  </w:style>
  <w:style w:type="character" w:styleId="WW8Num4z0" w:customStyle="1">
    <w:name w:val="WW8Num4z0"/>
    <w:qFormat/>
    <w:rPr>
      <w:b/>
    </w:rPr>
  </w:style>
  <w:style w:type="character" w:styleId="WW8Num14z3" w:customStyle="1">
    <w:name w:val="WW8Num14z3"/>
    <w:qFormat/>
    <w:rPr>
      <w:rFonts w:ascii="Symbol" w:hAnsi="Symbol" w:cs="Symbol"/>
    </w:rPr>
  </w:style>
  <w:style w:type="character" w:styleId="WW8Num6z0" w:customStyle="1">
    <w:name w:val="WW8Num6z0"/>
    <w:qFormat/>
    <w:rPr>
      <w:rFonts w:ascii="Wingdings 2" w:hAnsi="Wingdings 2" w:eastAsia="Times New Roman" w:cs="Times New Roman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37z0" w:customStyle="1">
    <w:name w:val="WW8Num37z0"/>
    <w:qFormat/>
    <w:rPr>
      <w:rFonts w:ascii="Wingdings" w:hAnsi="Wingdings" w:cs="Wingdings"/>
    </w:rPr>
  </w:style>
  <w:style w:type="character" w:styleId="WW8Num32z3" w:customStyle="1">
    <w:name w:val="WW8Num32z3"/>
    <w:qFormat/>
    <w:rPr>
      <w:rFonts w:ascii="Symbol" w:hAnsi="Symbol" w:cs="Symbol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27z1" w:customStyle="1">
    <w:name w:val="WW8Num27z1"/>
    <w:qFormat/>
    <w:rPr>
      <w:u w:val="none"/>
    </w:rPr>
  </w:style>
  <w:style w:type="character" w:styleId="Titolo1Carattere" w:customStyle="1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styleId="WW8Num13z0" w:customStyle="1">
    <w:name w:val="WW8Num13z0"/>
    <w:qFormat/>
    <w:rPr>
      <w:b/>
    </w:rPr>
  </w:style>
  <w:style w:type="character" w:styleId="WW8Num31z0" w:customStyle="1">
    <w:name w:val="WW8Num31z0"/>
    <w:qFormat/>
    <w:rPr>
      <w:b/>
    </w:rPr>
  </w:style>
  <w:style w:type="character" w:styleId="WW8Num17z0" w:customStyle="1">
    <w:name w:val="WW8Num17z0"/>
    <w:qFormat/>
    <w:rPr>
      <w:b/>
      <w:i w:val="false"/>
    </w:rPr>
  </w:style>
  <w:style w:type="character" w:styleId="WW8Num37z3" w:customStyle="1">
    <w:name w:val="WW8Num37z3"/>
    <w:qFormat/>
    <w:rPr>
      <w:rFonts w:ascii="Symbol" w:hAnsi="Symbol" w:cs="Symbol"/>
    </w:rPr>
  </w:style>
  <w:style w:type="character" w:styleId="WW8Num37z1" w:customStyle="1">
    <w:name w:val="WW8Num37z1"/>
    <w:qFormat/>
    <w:rPr>
      <w:rFonts w:ascii="Courier New" w:hAnsi="Courier New" w:cs="Courier New"/>
    </w:rPr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character" w:styleId="WW8Num21z0" w:customStyle="1">
    <w:name w:val="WW8Num21z0"/>
    <w:qFormat/>
    <w:rPr>
      <w:b/>
      <w:i w:val="false"/>
    </w:rPr>
  </w:style>
  <w:style w:type="character" w:styleId="WW8Num8z0" w:customStyle="1">
    <w:name w:val="WW8Num8z0"/>
    <w:qFormat/>
    <w:rPr>
      <w:rFonts w:ascii="Wingdings" w:hAnsi="Wingdings" w:cs="Wingdings"/>
    </w:rPr>
  </w:style>
  <w:style w:type="character" w:styleId="WW8Num32z0" w:customStyle="1">
    <w:name w:val="WW8Num32z0"/>
    <w:qFormat/>
    <w:rPr>
      <w:rFonts w:ascii="Courier New" w:hAnsi="Courier New" w:cs="Courier New"/>
    </w:rPr>
  </w:style>
  <w:style w:type="character" w:styleId="WW8Num25z0" w:customStyle="1">
    <w:name w:val="WW8Num25z0"/>
    <w:qFormat/>
    <w:rPr>
      <w:b/>
      <w:i w:val="false"/>
    </w:rPr>
  </w:style>
  <w:style w:type="character" w:styleId="WW8Num10z0" w:customStyle="1">
    <w:name w:val="WW8Num10z0"/>
    <w:qFormat/>
    <w:rPr>
      <w:b/>
    </w:rPr>
  </w:style>
  <w:style w:type="character" w:styleId="WW8Num29z0" w:customStyle="1">
    <w:name w:val="WW8Num29z0"/>
    <w:qFormat/>
    <w:rPr>
      <w:b/>
    </w:rPr>
  </w:style>
  <w:style w:type="character" w:styleId="WW8Num23z0" w:customStyle="1">
    <w:name w:val="WW8Num23z0"/>
    <w:qFormat/>
    <w:rPr>
      <w:b/>
      <w:i w:val="false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28z1" w:customStyle="1">
    <w:name w:val="WW8Num28z1"/>
    <w:qFormat/>
    <w:rPr>
      <w:u w:val="none"/>
    </w:rPr>
  </w:style>
  <w:style w:type="character" w:styleId="WW8Num2z0" w:customStyle="1">
    <w:name w:val="WW8Num2z0"/>
    <w:qFormat/>
    <w:rPr>
      <w:b/>
      <w:i w:val="false"/>
    </w:rPr>
  </w:style>
  <w:style w:type="character" w:styleId="WW8Num11z0" w:customStyle="1">
    <w:name w:val="WW8Num11z0"/>
    <w:qFormat/>
    <w:rPr>
      <w:b/>
    </w:rPr>
  </w:style>
  <w:style w:type="character" w:styleId="WW8Num34z0" w:customStyle="1">
    <w:name w:val="WW8Num34z0"/>
    <w:qFormat/>
    <w:rPr>
      <w:b/>
    </w:rPr>
  </w:style>
  <w:style w:type="character" w:styleId="WW8Num30z0" w:customStyle="1">
    <w:name w:val="WW8Num30z0"/>
    <w:qFormat/>
    <w:rPr>
      <w:b/>
    </w:rPr>
  </w:style>
  <w:style w:type="character" w:styleId="WW8Num33z1" w:customStyle="1">
    <w:name w:val="WW8Num33z1"/>
    <w:qFormat/>
    <w:rPr>
      <w:u w:val="none"/>
    </w:rPr>
  </w:style>
  <w:style w:type="character" w:styleId="WW8Num28z0" w:customStyle="1">
    <w:name w:val="WW8Num28z0"/>
    <w:qFormat/>
    <w:rPr>
      <w:b/>
      <w:i w:val="false"/>
    </w:rPr>
  </w:style>
  <w:style w:type="character" w:styleId="Caratteridinumerazione" w:customStyle="1">
    <w:name w:val="Caratteri di numerazione"/>
    <w:qFormat/>
    <w:rPr/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33z0" w:customStyle="1">
    <w:name w:val="WW8Num33z0"/>
    <w:qFormat/>
    <w:rPr>
      <w:b/>
      <w:i w:val="false"/>
    </w:rPr>
  </w:style>
  <w:style w:type="character" w:styleId="WW8Num14z0" w:customStyle="1">
    <w:name w:val="WW8Num14z0"/>
    <w:qFormat/>
    <w:rPr>
      <w:rFonts w:ascii="Wingdings" w:hAnsi="Wingdings" w:eastAsia="Times New Roman" w:cs="Times New Roman"/>
    </w:rPr>
  </w:style>
  <w:style w:type="character" w:styleId="WW8Num23z1" w:customStyle="1">
    <w:name w:val="WW8Num23z1"/>
    <w:qFormat/>
    <w:rPr>
      <w:u w:val="none"/>
    </w:rPr>
  </w:style>
  <w:style w:type="character" w:styleId="WW8Num22z1" w:customStyle="1">
    <w:name w:val="WW8Num22z1"/>
    <w:qFormat/>
    <w:rPr>
      <w:u w:val="none"/>
    </w:rPr>
  </w:style>
  <w:style w:type="character" w:styleId="PidipaginaCarattere" w:customStyle="1">
    <w:name w:val="Piè di pagina Carattere"/>
    <w:qFormat/>
    <w:rPr>
      <w:sz w:val="24"/>
      <w:szCs w:val="24"/>
    </w:rPr>
  </w:style>
  <w:style w:type="character" w:styleId="WW8Num36z0" w:customStyle="1">
    <w:name w:val="WW8Num36z0"/>
    <w:qFormat/>
    <w:rPr>
      <w:b/>
      <w:i w:val="false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Titolo3Carattere" w:customStyle="1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styleId="IntestazioneCarattere" w:customStyle="1">
    <w:name w:val="Intestazione Carattere"/>
    <w:qFormat/>
    <w:rPr>
      <w:sz w:val="24"/>
      <w:szCs w:val="24"/>
    </w:rPr>
  </w:style>
  <w:style w:type="character" w:styleId="TestofumettoCarattere" w:customStyle="1">
    <w:name w:val="Testo fumetto Carattere"/>
    <w:qFormat/>
    <w:rPr>
      <w:rFonts w:ascii="Tahoma" w:hAnsi="Tahoma" w:cs="Tahoma"/>
      <w:sz w:val="16"/>
      <w:szCs w:val="16"/>
    </w:rPr>
  </w:style>
  <w:style w:type="paragraph" w:styleId="Titolo" w:customStyle="1">
    <w:name w:val="Titolo"/>
    <w:basedOn w:val="Standard"/>
    <w:next w:val="Textbody"/>
    <w:qFormat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Textbody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Standard"/>
    <w:qFormat/>
    <w:pPr>
      <w:suppressLineNumbers/>
    </w:pPr>
    <w:rPr>
      <w:rFonts w:cs="Mangal"/>
    </w:rPr>
  </w:style>
  <w:style w:type="paragraph" w:styleId="Titolo1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it-IT" w:eastAsia="zh-CN" w:bidi="ar-SA"/>
    </w:rPr>
  </w:style>
  <w:style w:type="paragraph" w:styleId="Textbody" w:customStyle="1">
    <w:name w:val="Text body"/>
    <w:basedOn w:val="Standard"/>
    <w:qFormat/>
    <w:pPr>
      <w:jc w:val="both"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Standard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Standard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Standard"/>
    <w:qFormat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Standard"/>
    <w:qFormat/>
    <w:pPr/>
    <w:rPr>
      <w:b/>
      <w:bCs/>
      <w:sz w:val="28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Normale1" w:customStyle="1">
    <w:name w:val="Normale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000000"/>
      <w:kern w:val="0"/>
      <w:sz w:val="22"/>
      <w:szCs w:val="22"/>
      <w:lang w:val="it-IT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oleObject" Target="embeddings/oleObject1.bin"/><Relationship Id="rId4" Type="http://schemas.openxmlformats.org/officeDocument/2006/relationships/image" Target="media/image2.png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LibreOffice/6.4.2.2$Windows_X86_64 LibreOffice_project/4e471d8c02c9c90f512f7f9ead8875b57fcb1ec3</Application>
  <Pages>2</Pages>
  <Words>406</Words>
  <Characters>2180</Characters>
  <CharactersWithSpaces>3203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2019-05-28T09:46:00Z</dcterms:created>
  <dc:creator>Patrizia Zafferami</dc:creator>
  <dc:description/>
  <dc:language>it-IT</dc:language>
  <cp:lastModifiedBy/>
  <cp:lastPrinted>2012-06-03T12:34:00Z</cp:lastPrinted>
  <dcterms:modified xsi:type="dcterms:W3CDTF">2020-06-05T17:52:15Z</dcterms:modified>
  <cp:revision>5</cp:revision>
  <dc:subject/>
  <dc:title>VERBALE DELLA RIUNIONE N°63 CONSIGLIO D’ISTITUTO DEL 28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KSOProductBuildVer">
    <vt:lpwstr>1033-10.2.0.5811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