
<file path=[Content_Types].xml><?xml version="1.0" encoding="utf-8"?>
<Types xmlns="http://schemas.openxmlformats.org/package/2006/content-types">
  <Default ContentType="application/vnd.openxmlformats-officedocument.oleObject" Extension="bin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</w:pPr>
      <w:r w:rsidDel="00000000" w:rsidR="00000000" w:rsidRPr="00000000">
        <w:pict>
          <v:shapetype id="_x0000_t75" coordsize="21600,21600" filled="f" stroked="f" o:spt="75.0" o:preferrelative="t" path="m@4@5l@4@11@9@11@9@5xe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connecttype="rect" o:extrusionok="f" gradientshapeok="t"/>
            <o:lock v:ext="edit" aspectratio="t"/>
          </v:shapetype>
        </w:pict>
      </w:r>
    </w:p>
    <w:p w:rsidR="00000000" w:rsidDel="00000000" w:rsidP="00000000" w:rsidRDefault="00000000" w:rsidRPr="00000000" w14:paraId="00000002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0319.0" w:type="dxa"/>
        <w:jc w:val="center"/>
        <w:tblLayout w:type="fixed"/>
        <w:tblLook w:val="0000"/>
      </w:tblPr>
      <w:tblGrid>
        <w:gridCol w:w="778"/>
        <w:gridCol w:w="1514"/>
        <w:gridCol w:w="8027"/>
        <w:tblGridChange w:id="0">
          <w:tblGrid>
            <w:gridCol w:w="778"/>
            <w:gridCol w:w="1514"/>
            <w:gridCol w:w="8027"/>
          </w:tblGrid>
        </w:tblGridChange>
      </w:tblGrid>
      <w:tr>
        <w:trPr>
          <w:trHeight w:val="872" w:hRule="atLeast"/>
        </w:trPr>
        <w:tc>
          <w:tcPr>
            <w:tcBorders>
              <w:top w:color="000000" w:space="0" w:sz="4" w:val="single"/>
              <w:bottom w:color="000000" w:space="0" w:sz="4" w:val="single"/>
            </w:tcBorders>
            <w:shd w:fill="auto" w:val="clear"/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03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8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w:drawing>
                <wp:inline distB="0" distT="0" distL="0" distR="0">
                  <wp:extent cx="355600" cy="387350"/>
                  <wp:effectExtent b="0" l="0" r="0" t="0"/>
                  <wp:docPr id="2" name="image2.png"/>
                  <a:graphic>
                    <a:graphicData uri="http://schemas.openxmlformats.org/drawingml/2006/picture">
                      <pic:pic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5600" cy="38735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bottom w:color="000000" w:space="0" w:sz="4" w:val="single"/>
            </w:tcBorders>
            <w:shd w:fill="auto" w:val="clear"/>
            <w:tcMar>
              <w:top w:w="0.0" w:type="dxa"/>
              <w:left w:w="108.0" w:type="dxa"/>
              <w:bottom w:w="0.0" w:type="dxa"/>
              <w:right w:w="108.0" w:type="dxa"/>
            </w:tcMar>
            <w:vAlign w:val="bottom"/>
          </w:tcPr>
          <w:p w:rsidR="00000000" w:rsidDel="00000000" w:rsidP="00000000" w:rsidRDefault="00000000" w:rsidRPr="00000000" w14:paraId="00000004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20" w:before="6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w:pict>
                <v:shape id="Oggetto1" style="width:46.95pt;height:29.2pt;visibility:visible;mso-width-percent:0;mso-height-percent:0;mso-width-percent:0;mso-height-percent:0" alt="" o:spid="_x0000_i1025" o:ole="" type="#_x0000_t75">
                  <v:imagedata r:id="rId1" o:title=""/>
                </v:shape>
                <o:OLEObject DrawAspect="Content" r:id="rId2" ObjectID="_1684239252" ProgID="PBrush" ShapeID="Oggetto1" Type="Embed"/>
              </w:pic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bottom w:color="000000" w:space="0" w:sz="4" w:val="single"/>
            </w:tcBorders>
            <w:shd w:fill="auto" w:val="clear"/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05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6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Book Antiqua" w:cs="Book Antiqua" w:eastAsia="Book Antiqua" w:hAnsi="Book Antiqua"/>
                <w:b w:val="1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I I S  </w:t>
            </w:r>
            <w:r w:rsidDel="00000000" w:rsidR="00000000" w:rsidRPr="00000000">
              <w:rPr>
                <w:rFonts w:ascii="Book Antiqua" w:cs="Book Antiqua" w:eastAsia="Book Antiqua" w:hAnsi="Book Antiqua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“Ettore Majorana”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6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60" w:line="240" w:lineRule="auto"/>
              <w:ind w:left="0" w:right="0" w:firstLine="0"/>
              <w:jc w:val="left"/>
              <w:rPr>
                <w:rFonts w:ascii="Book Antiqua" w:cs="Book Antiqua" w:eastAsia="Book Antiqua" w:hAnsi="Book Antiqu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Book Antiqua" w:cs="Book Antiqua" w:eastAsia="Book Antiqua" w:hAnsi="Book Antiqu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Via A. De Gasperi, 6   -   20811  Cesano  Maderno  (MB)</w:t>
            </w:r>
          </w:p>
        </w:tc>
      </w:tr>
      <w:tr>
        <w:trPr>
          <w:trHeight w:val="256" w:hRule="atLeast"/>
        </w:trPr>
        <w:tc>
          <w:tcPr>
            <w:gridSpan w:val="3"/>
            <w:tcBorders>
              <w:top w:color="000000" w:space="0" w:sz="4" w:val="single"/>
              <w:bottom w:color="000000" w:space="0" w:sz="4" w:val="single"/>
            </w:tcBorders>
            <w:shd w:fill="auto" w:val="clear"/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07">
            <w:pPr>
              <w:pStyle w:val="Heading3"/>
              <w:spacing w:after="40" w:before="120" w:lineRule="auto"/>
              <w:rPr>
                <w:b w:val="1"/>
                <w:sz w:val="22"/>
                <w:szCs w:val="22"/>
                <w:u w:val="none"/>
              </w:rPr>
            </w:pPr>
            <w:r w:rsidDel="00000000" w:rsidR="00000000" w:rsidRPr="00000000">
              <w:rPr>
                <w:b w:val="1"/>
                <w:sz w:val="22"/>
                <w:szCs w:val="22"/>
                <w:u w:val="none"/>
                <w:rtl w:val="0"/>
              </w:rPr>
              <w:t xml:space="preserve">PROGRAMMA SVOLTO</w:t>
            </w:r>
          </w:p>
        </w:tc>
      </w:tr>
    </w:tbl>
    <w:p w:rsidR="00000000" w:rsidDel="00000000" w:rsidP="00000000" w:rsidRDefault="00000000" w:rsidRPr="00000000" w14:paraId="0000000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Palatino Linotype" w:cs="Palatino Linotype" w:eastAsia="Palatino Linotype" w:hAnsi="Palatino Linotype"/>
          <w:b w:val="1"/>
          <w:i w:val="0"/>
          <w:smallCaps w:val="0"/>
          <w:strike w:val="0"/>
          <w:color w:val="000000"/>
          <w:sz w:val="16"/>
          <w:szCs w:val="16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10441.999999999998" w:type="dxa"/>
        <w:jc w:val="center"/>
        <w:tblLayout w:type="fixed"/>
        <w:tblLook w:val="0000"/>
      </w:tblPr>
      <w:tblGrid>
        <w:gridCol w:w="1020"/>
        <w:gridCol w:w="4139"/>
        <w:gridCol w:w="1134"/>
        <w:gridCol w:w="4149"/>
        <w:tblGridChange w:id="0">
          <w:tblGrid>
            <w:gridCol w:w="1020"/>
            <w:gridCol w:w="4139"/>
            <w:gridCol w:w="1134"/>
            <w:gridCol w:w="4149"/>
          </w:tblGrid>
        </w:tblGridChange>
      </w:tblGrid>
      <w:t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0B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left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CLASSE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0C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center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5^ALG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0D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317"/>
              </w:tabs>
              <w:spacing w:after="200" w:before="200" w:line="240" w:lineRule="auto"/>
              <w:ind w:left="-143" w:right="-73" w:firstLine="0"/>
              <w:jc w:val="center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 DISCIPLINA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0E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center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Storia </w:t>
            </w:r>
          </w:p>
        </w:tc>
      </w:tr>
      <w:t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0F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left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DOCENTE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10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center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Prof. Oleari Antonio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11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317"/>
              </w:tabs>
              <w:spacing w:after="200" w:before="200" w:line="240" w:lineRule="auto"/>
              <w:ind w:left="-143" w:right="-73" w:firstLine="0"/>
              <w:jc w:val="center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A.S.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12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center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2020/2021</w:t>
            </w:r>
          </w:p>
        </w:tc>
      </w:tr>
    </w:tbl>
    <w:p w:rsidR="00000000" w:rsidDel="00000000" w:rsidP="00000000" w:rsidRDefault="00000000" w:rsidRPr="00000000" w14:paraId="0000001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113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Libre Baskerville" w:cs="Libre Baskerville" w:eastAsia="Libre Baskerville" w:hAnsi="Libre Baskerville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Libre Baskerville" w:cs="Libre Baskerville" w:eastAsia="Libre Baskerville" w:hAnsi="Libre Baskerville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L’imperialismo e la crisi dell’equilibrio europeo</w:t>
      </w:r>
    </w:p>
    <w:p w:rsidR="00000000" w:rsidDel="00000000" w:rsidP="00000000" w:rsidRDefault="00000000" w:rsidRPr="00000000" w14:paraId="00000015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I motivi della corsa alle colonie</w:t>
      </w:r>
    </w:p>
    <w:p w:rsidR="00000000" w:rsidDel="00000000" w:rsidP="00000000" w:rsidRDefault="00000000" w:rsidRPr="00000000" w14:paraId="00000016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La conferenza di Berlino e la spartizione dell’Africa.</w:t>
      </w:r>
    </w:p>
    <w:p w:rsidR="00000000" w:rsidDel="00000000" w:rsidP="00000000" w:rsidRDefault="00000000" w:rsidRPr="00000000" w14:paraId="00000017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Libre Baskerville" w:cs="Libre Baskerville" w:eastAsia="Libre Baskerville" w:hAnsi="Libre Baskerville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La belle époque: caratteristiche principali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Libre Baskerville" w:cs="Libre Baskerville" w:eastAsia="Libre Baskerville" w:hAnsi="Libre Baskerville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Libre Baskerville" w:cs="Libre Baskerville" w:eastAsia="Libre Baskerville" w:hAnsi="Libre Baskerville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Libre Baskerville" w:cs="Libre Baskerville" w:eastAsia="Libre Baskerville" w:hAnsi="Libre Baskerville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L’Italia giolittiana</w:t>
      </w:r>
    </w:p>
    <w:p w:rsidR="00000000" w:rsidDel="00000000" w:rsidP="00000000" w:rsidRDefault="00000000" w:rsidRPr="00000000" w14:paraId="0000001A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I progressi sociali e lo sviluppo industriale dell’Italia</w:t>
      </w:r>
    </w:p>
    <w:p w:rsidR="00000000" w:rsidDel="00000000" w:rsidP="00000000" w:rsidRDefault="00000000" w:rsidRPr="00000000" w14:paraId="0000001B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La grande migrazione italiana</w:t>
      </w:r>
    </w:p>
    <w:p w:rsidR="00000000" w:rsidDel="00000000" w:rsidP="00000000" w:rsidRDefault="00000000" w:rsidRPr="00000000" w14:paraId="0000001C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I principali aspetti della politica interna ed estera di Giolitti </w:t>
      </w:r>
    </w:p>
    <w:p w:rsidR="00000000" w:rsidDel="00000000" w:rsidP="00000000" w:rsidRDefault="00000000" w:rsidRPr="00000000" w14:paraId="0000001D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Libre Baskerville" w:cs="Libre Baskerville" w:eastAsia="Libre Baskerville" w:hAnsi="Libre Baskerville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Libre Baskerville" w:cs="Libre Baskerville" w:eastAsia="Libre Baskerville" w:hAnsi="Libre Baskerville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Libre Baskerville" w:cs="Libre Baskerville" w:eastAsia="Libre Baskerville" w:hAnsi="Libre Baskerville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La Prima guerra mondiale </w:t>
      </w:r>
    </w:p>
    <w:p w:rsidR="00000000" w:rsidDel="00000000" w:rsidP="00000000" w:rsidRDefault="00000000" w:rsidRPr="00000000" w14:paraId="0000001F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Le cause della guerra</w:t>
      </w:r>
    </w:p>
    <w:p w:rsidR="00000000" w:rsidDel="00000000" w:rsidP="00000000" w:rsidRDefault="00000000" w:rsidRPr="00000000" w14:paraId="00000020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1914: il fallimento della guerra lampo</w:t>
      </w:r>
    </w:p>
    <w:p w:rsidR="00000000" w:rsidDel="00000000" w:rsidP="00000000" w:rsidRDefault="00000000" w:rsidRPr="00000000" w14:paraId="00000021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L’Italia dalla neutralità alla guerra</w:t>
      </w:r>
    </w:p>
    <w:p w:rsidR="00000000" w:rsidDel="00000000" w:rsidP="00000000" w:rsidRDefault="00000000" w:rsidRPr="00000000" w14:paraId="00000022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1915 – 1916: la guerra di posizione</w:t>
      </w:r>
    </w:p>
    <w:p w:rsidR="00000000" w:rsidDel="00000000" w:rsidP="00000000" w:rsidRDefault="00000000" w:rsidRPr="00000000" w14:paraId="00000023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Il fronte interno e l’economia di guerra</w:t>
      </w:r>
    </w:p>
    <w:p w:rsidR="00000000" w:rsidDel="00000000" w:rsidP="00000000" w:rsidRDefault="00000000" w:rsidRPr="00000000" w14:paraId="00000024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Dalla caduta del fronte russo alla fine della guerra</w:t>
      </w:r>
    </w:p>
    <w:p w:rsidR="00000000" w:rsidDel="00000000" w:rsidP="00000000" w:rsidRDefault="00000000" w:rsidRPr="00000000" w14:paraId="00000025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Libre Baskerville" w:cs="Libre Baskerville" w:eastAsia="Libre Baskerville" w:hAnsi="Libre Baskerville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Libre Baskerville" w:cs="Libre Baskerville" w:eastAsia="Libre Baskerville" w:hAnsi="Libre Baskerville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Libre Baskerville" w:cs="Libre Baskerville" w:eastAsia="Libre Baskerville" w:hAnsi="Libre Baskerville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Dalla rivoluzione russa alla nascita dell’Unione sovietica</w:t>
      </w:r>
    </w:p>
    <w:p w:rsidR="00000000" w:rsidDel="00000000" w:rsidP="00000000" w:rsidRDefault="00000000" w:rsidRPr="00000000" w14:paraId="00000027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La rivoluzione di febbraio</w:t>
      </w:r>
    </w:p>
    <w:p w:rsidR="00000000" w:rsidDel="00000000" w:rsidP="00000000" w:rsidRDefault="00000000" w:rsidRPr="00000000" w14:paraId="00000028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La rivoluzione d’ottobre</w:t>
      </w:r>
    </w:p>
    <w:p w:rsidR="00000000" w:rsidDel="00000000" w:rsidP="00000000" w:rsidRDefault="00000000" w:rsidRPr="00000000" w14:paraId="00000029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Lenin alla guida dello Stato sovietico </w:t>
      </w:r>
    </w:p>
    <w:p w:rsidR="00000000" w:rsidDel="00000000" w:rsidP="00000000" w:rsidRDefault="00000000" w:rsidRPr="00000000" w14:paraId="0000002A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La Russia fra guerra civile e comunismo di guerra</w:t>
      </w:r>
    </w:p>
    <w:p w:rsidR="00000000" w:rsidDel="00000000" w:rsidP="00000000" w:rsidRDefault="00000000" w:rsidRPr="00000000" w14:paraId="0000002B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La nuova politica economica e la nascita dell’URSS</w:t>
      </w:r>
    </w:p>
    <w:p w:rsidR="00000000" w:rsidDel="00000000" w:rsidP="00000000" w:rsidRDefault="00000000" w:rsidRPr="00000000" w14:paraId="0000002C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Libre Baskerville" w:cs="Libre Baskerville" w:eastAsia="Libre Baskerville" w:hAnsi="Libre Baskerville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Libre Baskerville" w:cs="Libre Baskerville" w:eastAsia="Libre Baskerville" w:hAnsi="Libre Baskerville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Libre Baskerville" w:cs="Libre Baskerville" w:eastAsia="Libre Baskerville" w:hAnsi="Libre Baskerville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L’ascesa di Stalin e l’industrializzazione dell’URSS</w:t>
      </w:r>
    </w:p>
    <w:p w:rsidR="00000000" w:rsidDel="00000000" w:rsidP="00000000" w:rsidRDefault="00000000" w:rsidRPr="00000000" w14:paraId="0000002E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Il terrore staliniano e i gulag</w:t>
      </w:r>
    </w:p>
    <w:p w:rsidR="00000000" w:rsidDel="00000000" w:rsidP="00000000" w:rsidRDefault="00000000" w:rsidRPr="00000000" w14:paraId="0000002F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Il consolidamento dello Stato totalitario</w:t>
      </w:r>
    </w:p>
    <w:p w:rsidR="00000000" w:rsidDel="00000000" w:rsidP="00000000" w:rsidRDefault="00000000" w:rsidRPr="00000000" w14:paraId="00000030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Libre Baskerville" w:cs="Libre Baskerville" w:eastAsia="Libre Baskerville" w:hAnsi="Libre Baskerville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Libre Baskerville" w:cs="Libre Baskerville" w:eastAsia="Libre Baskerville" w:hAnsi="Libre Baskerville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Libre Baskerville" w:cs="Libre Baskerville" w:eastAsia="Libre Baskerville" w:hAnsi="Libre Baskerville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L’Europa e il mondo all’indomani del conflitto</w:t>
      </w:r>
    </w:p>
    <w:p w:rsidR="00000000" w:rsidDel="00000000" w:rsidP="00000000" w:rsidRDefault="00000000" w:rsidRPr="00000000" w14:paraId="00000032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La conferenza di pace e la Società delle Nazioni</w:t>
      </w:r>
    </w:p>
    <w:p w:rsidR="00000000" w:rsidDel="00000000" w:rsidP="00000000" w:rsidRDefault="00000000" w:rsidRPr="00000000" w14:paraId="00000033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I trattati di pace e il nuovo volto dell’Europa </w:t>
      </w:r>
    </w:p>
    <w:p w:rsidR="00000000" w:rsidDel="00000000" w:rsidP="00000000" w:rsidRDefault="00000000" w:rsidRPr="00000000" w14:paraId="00000034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Libre Baskerville" w:cs="Libre Baskerville" w:eastAsia="Libre Baskerville" w:hAnsi="Libre Baskerville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Libre Baskerville" w:cs="Libre Baskerville" w:eastAsia="Libre Baskerville" w:hAnsi="Libre Baskerville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Libre Baskerville" w:cs="Libre Baskerville" w:eastAsia="Libre Baskerville" w:hAnsi="Libre Baskerville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Il dopoguerra in Italia e l’avvento del fascismo</w:t>
      </w:r>
    </w:p>
    <w:p w:rsidR="00000000" w:rsidDel="00000000" w:rsidP="00000000" w:rsidRDefault="00000000" w:rsidRPr="00000000" w14:paraId="00000036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Le difficoltà economiche e sociali all’indomani del conflitto</w:t>
      </w:r>
    </w:p>
    <w:p w:rsidR="00000000" w:rsidDel="00000000" w:rsidP="00000000" w:rsidRDefault="00000000" w:rsidRPr="00000000" w14:paraId="00000037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I nuovi partiti e i movimenti politici </w:t>
      </w:r>
    </w:p>
    <w:p w:rsidR="00000000" w:rsidDel="00000000" w:rsidP="00000000" w:rsidRDefault="00000000" w:rsidRPr="00000000" w14:paraId="00000038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La questione di Fiume e il biennio rosso </w:t>
      </w:r>
    </w:p>
    <w:p w:rsidR="00000000" w:rsidDel="00000000" w:rsidP="00000000" w:rsidRDefault="00000000" w:rsidRPr="00000000" w14:paraId="00000039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L’ascesa del fascismo e la dittatura  </w:t>
      </w:r>
    </w:p>
    <w:p w:rsidR="00000000" w:rsidDel="00000000" w:rsidP="00000000" w:rsidRDefault="00000000" w:rsidRPr="00000000" w14:paraId="0000003A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Libre Baskerville" w:cs="Libre Baskerville" w:eastAsia="Libre Baskerville" w:hAnsi="Libre Baskerville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Libre Baskerville" w:cs="Libre Baskerville" w:eastAsia="Libre Baskerville" w:hAnsi="Libre Baskerville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Libre Baskerville" w:cs="Libre Baskerville" w:eastAsia="Libre Baskerville" w:hAnsi="Libre Baskerville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Gli Stati Uniti e la crisi del ‘29</w:t>
      </w:r>
    </w:p>
    <w:p w:rsidR="00000000" w:rsidDel="00000000" w:rsidP="00000000" w:rsidRDefault="00000000" w:rsidRPr="00000000" w14:paraId="0000003C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Il nuovo ruolo degli Stati Uniti e la politica isolazionista </w:t>
      </w:r>
    </w:p>
    <w:p w:rsidR="00000000" w:rsidDel="00000000" w:rsidP="00000000" w:rsidRDefault="00000000" w:rsidRPr="00000000" w14:paraId="0000003D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Gli anni Venti fra boom economico e cambiamenti sociali</w:t>
      </w:r>
    </w:p>
    <w:p w:rsidR="00000000" w:rsidDel="00000000" w:rsidP="00000000" w:rsidRDefault="00000000" w:rsidRPr="00000000" w14:paraId="0000003E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La crisi del ’29</w:t>
      </w:r>
    </w:p>
    <w:p w:rsidR="00000000" w:rsidDel="00000000" w:rsidP="00000000" w:rsidRDefault="00000000" w:rsidRPr="00000000" w14:paraId="0000003F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Roosevelt e il New Deal.</w:t>
      </w:r>
    </w:p>
    <w:p w:rsidR="00000000" w:rsidDel="00000000" w:rsidP="00000000" w:rsidRDefault="00000000" w:rsidRPr="00000000" w14:paraId="00000040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Libre Baskerville" w:cs="Libre Baskerville" w:eastAsia="Libre Baskerville" w:hAnsi="Libre Baskerville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Libre Baskerville" w:cs="Libre Baskerville" w:eastAsia="Libre Baskerville" w:hAnsi="Libre Baskerville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Libre Baskerville" w:cs="Libre Baskerville" w:eastAsia="Libre Baskerville" w:hAnsi="Libre Baskerville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La crisi della Germania repubblicana e il nazismo</w:t>
      </w:r>
    </w:p>
    <w:p w:rsidR="00000000" w:rsidDel="00000000" w:rsidP="00000000" w:rsidRDefault="00000000" w:rsidRPr="00000000" w14:paraId="00000042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La crisi economica e l’affermazione del nazionalismo</w:t>
      </w:r>
    </w:p>
    <w:p w:rsidR="00000000" w:rsidDel="00000000" w:rsidP="00000000" w:rsidRDefault="00000000" w:rsidRPr="00000000" w14:paraId="00000043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Hitler e la nascita del nazionalsocialismo</w:t>
      </w:r>
    </w:p>
    <w:p w:rsidR="00000000" w:rsidDel="00000000" w:rsidP="00000000" w:rsidRDefault="00000000" w:rsidRPr="00000000" w14:paraId="00000044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Il nazismo al potere: ideologia nazista e antisemitismo.</w:t>
      </w:r>
    </w:p>
    <w:p w:rsidR="00000000" w:rsidDel="00000000" w:rsidP="00000000" w:rsidRDefault="00000000" w:rsidRPr="00000000" w14:paraId="00000045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Libre Baskerville" w:cs="Libre Baskerville" w:eastAsia="Libre Baskerville" w:hAnsi="Libre Baskerville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Libre Baskerville" w:cs="Libre Baskerville" w:eastAsia="Libre Baskerville" w:hAnsi="Libre Baskerville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Il regime fascista in Italia</w:t>
      </w:r>
    </w:p>
    <w:p w:rsidR="00000000" w:rsidDel="00000000" w:rsidP="00000000" w:rsidRDefault="00000000" w:rsidRPr="00000000" w14:paraId="00000047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La nascita del regime e fascistizzazione</w:t>
      </w:r>
    </w:p>
    <w:p w:rsidR="00000000" w:rsidDel="00000000" w:rsidP="00000000" w:rsidRDefault="00000000" w:rsidRPr="00000000" w14:paraId="00000048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La politica interna ed economica</w:t>
      </w:r>
    </w:p>
    <w:p w:rsidR="00000000" w:rsidDel="00000000" w:rsidP="00000000" w:rsidRDefault="00000000" w:rsidRPr="00000000" w14:paraId="00000049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I rapporti tra la Chiesa e il fascismo </w:t>
      </w:r>
    </w:p>
    <w:p w:rsidR="00000000" w:rsidDel="00000000" w:rsidP="00000000" w:rsidRDefault="00000000" w:rsidRPr="00000000" w14:paraId="0000004A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La politica estera e la guerra di Etiopia </w:t>
      </w:r>
    </w:p>
    <w:p w:rsidR="00000000" w:rsidDel="00000000" w:rsidP="00000000" w:rsidRDefault="00000000" w:rsidRPr="00000000" w14:paraId="0000004B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Le leggi razziali</w:t>
      </w:r>
    </w:p>
    <w:p w:rsidR="00000000" w:rsidDel="00000000" w:rsidP="00000000" w:rsidRDefault="00000000" w:rsidRPr="00000000" w14:paraId="0000004C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Libre Baskerville" w:cs="Libre Baskerville" w:eastAsia="Libre Baskerville" w:hAnsi="Libre Baskerville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Libre Baskerville" w:cs="Libre Baskerville" w:eastAsia="Libre Baskerville" w:hAnsi="Libre Baskerville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Libre Baskerville" w:cs="Libre Baskerville" w:eastAsia="Libre Baskerville" w:hAnsi="Libre Baskerville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L’Europa e il mondo verso una nuova guerra </w:t>
      </w:r>
    </w:p>
    <w:p w:rsidR="00000000" w:rsidDel="00000000" w:rsidP="00000000" w:rsidRDefault="00000000" w:rsidRPr="00000000" w14:paraId="0000004E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Il riarmo della Germania nazista e l’alleanza con l’Italia e il Giappone</w:t>
      </w:r>
    </w:p>
    <w:p w:rsidR="00000000" w:rsidDel="00000000" w:rsidP="00000000" w:rsidRDefault="00000000" w:rsidRPr="00000000" w14:paraId="0000004F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La guerra civile spagnola</w:t>
      </w:r>
    </w:p>
    <w:p w:rsidR="00000000" w:rsidDel="00000000" w:rsidP="00000000" w:rsidRDefault="00000000" w:rsidRPr="00000000" w14:paraId="00000050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L’escalation nazista verso la guerra</w:t>
      </w:r>
    </w:p>
    <w:p w:rsidR="00000000" w:rsidDel="00000000" w:rsidP="00000000" w:rsidRDefault="00000000" w:rsidRPr="00000000" w14:paraId="00000051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Libre Baskerville" w:cs="Libre Baskerville" w:eastAsia="Libre Baskerville" w:hAnsi="Libre Baskerville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Libre Baskerville" w:cs="Libre Baskerville" w:eastAsia="Libre Baskerville" w:hAnsi="Libre Baskerville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Libre Baskerville" w:cs="Libre Baskerville" w:eastAsia="Libre Baskerville" w:hAnsi="Libre Baskerville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La seconda guerra mondiale</w:t>
      </w:r>
    </w:p>
    <w:p w:rsidR="00000000" w:rsidDel="00000000" w:rsidP="00000000" w:rsidRDefault="00000000" w:rsidRPr="00000000" w14:paraId="00000053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Il successo della guerra – lampo (1939– 40)</w:t>
      </w:r>
    </w:p>
    <w:p w:rsidR="00000000" w:rsidDel="00000000" w:rsidP="00000000" w:rsidRDefault="00000000" w:rsidRPr="00000000" w14:paraId="00000054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La svolta del 1941: la guerra diventa mondiale</w:t>
      </w:r>
    </w:p>
    <w:p w:rsidR="00000000" w:rsidDel="00000000" w:rsidP="00000000" w:rsidRDefault="00000000" w:rsidRPr="00000000" w14:paraId="00000055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L’inizio della controffensiva alleata (1942 – 1943)</w:t>
      </w:r>
    </w:p>
    <w:p w:rsidR="00000000" w:rsidDel="00000000" w:rsidP="00000000" w:rsidRDefault="00000000" w:rsidRPr="00000000" w14:paraId="00000056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La caduta del fascismo e la guerra civile in Italia</w:t>
      </w:r>
    </w:p>
    <w:p w:rsidR="00000000" w:rsidDel="00000000" w:rsidP="00000000" w:rsidRDefault="00000000" w:rsidRPr="00000000" w14:paraId="00000057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La vittoria degli Alleati</w:t>
      </w:r>
    </w:p>
    <w:p w:rsidR="00000000" w:rsidDel="00000000" w:rsidP="00000000" w:rsidRDefault="00000000" w:rsidRPr="00000000" w14:paraId="00000058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La guerra dei civili </w:t>
      </w:r>
    </w:p>
    <w:p w:rsidR="00000000" w:rsidDel="00000000" w:rsidP="00000000" w:rsidRDefault="00000000" w:rsidRPr="00000000" w14:paraId="00000059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Lo sterminio degli ebrei </w:t>
      </w:r>
    </w:p>
    <w:p w:rsidR="00000000" w:rsidDel="00000000" w:rsidP="00000000" w:rsidRDefault="00000000" w:rsidRPr="00000000" w14:paraId="0000005A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Libre Baskerville" w:cs="Libre Baskerville" w:eastAsia="Libre Baskerville" w:hAnsi="Libre Baskerville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Libre Baskerville" w:cs="Libre Baskerville" w:eastAsia="Libre Baskerville" w:hAnsi="Libre Baskerville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Libre Baskerville" w:cs="Libre Baskerville" w:eastAsia="Libre Baskerville" w:hAnsi="Libre Baskerville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Il mondo bibolare: dalla guerra fredda alla dissoluzione dell’URSS</w:t>
      </w:r>
    </w:p>
    <w:p w:rsidR="00000000" w:rsidDel="00000000" w:rsidP="00000000" w:rsidRDefault="00000000" w:rsidRPr="00000000" w14:paraId="0000005C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1945- 1947: USA e URSS da alleati ad antagonisti</w:t>
      </w:r>
    </w:p>
    <w:p w:rsidR="00000000" w:rsidDel="00000000" w:rsidP="00000000" w:rsidRDefault="00000000" w:rsidRPr="00000000" w14:paraId="0000005D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1948- 1949: il sistema di alleanze durante la guerra fredda</w:t>
      </w:r>
    </w:p>
    <w:p w:rsidR="00000000" w:rsidDel="00000000" w:rsidP="00000000" w:rsidRDefault="00000000" w:rsidRPr="00000000" w14:paraId="0000005E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Gli aiuti americani rilanciano l’economia europea</w:t>
      </w:r>
    </w:p>
    <w:p w:rsidR="00000000" w:rsidDel="00000000" w:rsidP="00000000" w:rsidRDefault="00000000" w:rsidRPr="00000000" w14:paraId="0000005F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Libre Baskerville" w:cs="Libre Baskerville" w:eastAsia="Libre Baskerville" w:hAnsi="Libre Baskerville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Libre Baskerville" w:cs="Libre Baskerville" w:eastAsia="Libre Baskerville" w:hAnsi="Libre Baskerville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Libre Baskerville" w:cs="Libre Baskerville" w:eastAsia="Libre Baskerville" w:hAnsi="Libre Baskerville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L’Italia della prima repubblica</w:t>
      </w:r>
    </w:p>
    <w:p w:rsidR="00000000" w:rsidDel="00000000" w:rsidP="00000000" w:rsidRDefault="00000000" w:rsidRPr="00000000" w14:paraId="00000061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Il voto alle donne</w:t>
      </w:r>
    </w:p>
    <w:p w:rsidR="00000000" w:rsidDel="00000000" w:rsidP="00000000" w:rsidRDefault="00000000" w:rsidRPr="00000000" w14:paraId="00000062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La nascita della Repubblica</w:t>
      </w:r>
    </w:p>
    <w:p w:rsidR="00000000" w:rsidDel="00000000" w:rsidP="00000000" w:rsidRDefault="00000000" w:rsidRPr="00000000" w14:paraId="00000063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09" w:right="0" w:firstLine="0"/>
        <w:jc w:val="both"/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La ricostruzione e il miracolo economico</w:t>
      </w:r>
    </w:p>
    <w:p w:rsidR="00000000" w:rsidDel="00000000" w:rsidP="00000000" w:rsidRDefault="00000000" w:rsidRPr="00000000" w14:paraId="00000064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09" w:right="0" w:firstLine="0"/>
        <w:jc w:val="both"/>
        <w:rPr>
          <w:rFonts w:ascii="Libre Baskerville" w:cs="Libre Baskerville" w:eastAsia="Libre Baskerville" w:hAnsi="Libre Baskerville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5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09" w:right="0" w:firstLine="0"/>
        <w:jc w:val="both"/>
        <w:rPr>
          <w:rFonts w:ascii="Libre Baskerville" w:cs="Libre Baskerville" w:eastAsia="Libre Baskerville" w:hAnsi="Libre Baskerville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Libre Baskerville" w:cs="Libre Baskerville" w:eastAsia="Libre Baskerville" w:hAnsi="Libre Baskerville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Educazione civica – dalla norma alla legge (costituzionalità)</w:t>
      </w:r>
    </w:p>
    <w:p w:rsidR="00000000" w:rsidDel="00000000" w:rsidP="00000000" w:rsidRDefault="00000000" w:rsidRPr="00000000" w14:paraId="00000066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09" w:right="0" w:firstLine="0"/>
        <w:jc w:val="both"/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Lo statuto albertino</w:t>
      </w:r>
    </w:p>
    <w:p w:rsidR="00000000" w:rsidDel="00000000" w:rsidP="00000000" w:rsidRDefault="00000000" w:rsidRPr="00000000" w14:paraId="00000067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09" w:right="0" w:firstLine="0"/>
        <w:jc w:val="both"/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Le leggi razziali in Italia e Germania</w:t>
      </w:r>
    </w:p>
    <w:p w:rsidR="00000000" w:rsidDel="00000000" w:rsidP="00000000" w:rsidRDefault="00000000" w:rsidRPr="00000000" w14:paraId="00000068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09" w:right="0" w:firstLine="0"/>
        <w:jc w:val="both"/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La costituzione italiana: nascita e composizione</w:t>
      </w:r>
    </w:p>
    <w:p w:rsidR="00000000" w:rsidDel="00000000" w:rsidP="00000000" w:rsidRDefault="00000000" w:rsidRPr="00000000" w14:paraId="00000069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09" w:right="0" w:firstLine="0"/>
        <w:jc w:val="both"/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Libre Baskerville" w:cs="Libre Baskerville" w:eastAsia="Libre Baskerville" w:hAnsi="Libre Baskerville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L’iter legislativo</w:t>
      </w:r>
    </w:p>
    <w:p w:rsidR="00000000" w:rsidDel="00000000" w:rsidP="00000000" w:rsidRDefault="00000000" w:rsidRPr="00000000" w14:paraId="0000006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B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193" w:firstLine="284"/>
        <w:jc w:val="left"/>
        <w:rPr>
          <w:rFonts w:ascii="Trebuchet MS" w:cs="Trebuchet MS" w:eastAsia="Trebuchet MS" w:hAnsi="Trebuchet MS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rebuchet MS" w:cs="Trebuchet MS" w:eastAsia="Trebuchet MS" w:hAnsi="Trebuchet MS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Libro di testo: </w:t>
      </w:r>
    </w:p>
    <w:p w:rsidR="00000000" w:rsidDel="00000000" w:rsidP="00000000" w:rsidRDefault="00000000" w:rsidRPr="00000000" w14:paraId="0000006C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284" w:right="193" w:firstLine="0"/>
        <w:jc w:val="left"/>
        <w:rPr>
          <w:rFonts w:ascii="Trebuchet MS" w:cs="Trebuchet MS" w:eastAsia="Trebuchet MS" w:hAnsi="Trebuchet MS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bookmarkStart w:colFirst="0" w:colLast="0" w:name="_heading=h.gjdgxs" w:id="0"/>
      <w:bookmarkEnd w:id="0"/>
      <w:r w:rsidDel="00000000" w:rsidR="00000000" w:rsidRPr="00000000">
        <w:rPr>
          <w:rFonts w:ascii="Trebuchet MS" w:cs="Trebuchet MS" w:eastAsia="Trebuchet MS" w:hAnsi="Trebuchet MS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Giovanni De Luna – Marco Meriggi, </w:t>
      </w:r>
      <w:r w:rsidDel="00000000" w:rsidR="00000000" w:rsidRPr="00000000">
        <w:rPr>
          <w:rFonts w:ascii="Trebuchet MS" w:cs="Trebuchet MS" w:eastAsia="Trebuchet MS" w:hAnsi="Trebuchet MS"/>
          <w:b w:val="0"/>
          <w:i w:val="1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La rete del tempo – vol. 2 (Il Novecento e gli anni Duemila)</w:t>
      </w:r>
      <w:r w:rsidDel="00000000" w:rsidR="00000000" w:rsidRPr="00000000">
        <w:rPr>
          <w:rFonts w:ascii="Trebuchet MS" w:cs="Trebuchet MS" w:eastAsia="Trebuchet MS" w:hAnsi="Trebuchet MS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, Paravia</w:t>
      </w:r>
    </w:p>
    <w:p w:rsidR="00000000" w:rsidDel="00000000" w:rsidP="00000000" w:rsidRDefault="00000000" w:rsidRPr="00000000" w14:paraId="0000006D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193" w:firstLine="0"/>
        <w:jc w:val="left"/>
        <w:rPr>
          <w:rFonts w:ascii="Trebuchet MS" w:cs="Trebuchet MS" w:eastAsia="Trebuchet MS" w:hAnsi="Trebuchet MS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E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284" w:right="193" w:firstLine="0"/>
        <w:jc w:val="left"/>
        <w:rPr>
          <w:rFonts w:ascii="Trebuchet MS" w:cs="Trebuchet MS" w:eastAsia="Trebuchet MS" w:hAnsi="Trebuchet MS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rebuchet MS" w:cs="Trebuchet MS" w:eastAsia="Trebuchet MS" w:hAnsi="Trebuchet MS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Giovanni De Luna – Marco Meriggi, </w:t>
      </w:r>
      <w:r w:rsidDel="00000000" w:rsidR="00000000" w:rsidRPr="00000000">
        <w:rPr>
          <w:rFonts w:ascii="Trebuchet MS" w:cs="Trebuchet MS" w:eastAsia="Trebuchet MS" w:hAnsi="Trebuchet MS"/>
          <w:b w:val="0"/>
          <w:i w:val="1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La rete del tempo – vol. 3 (Il Novecento e gli anni Duemila)</w:t>
      </w:r>
      <w:r w:rsidDel="00000000" w:rsidR="00000000" w:rsidRPr="00000000">
        <w:rPr>
          <w:rFonts w:ascii="Trebuchet MS" w:cs="Trebuchet MS" w:eastAsia="Trebuchet MS" w:hAnsi="Trebuchet MS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, Paravia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F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0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Palatino Linotype" w:cs="Palatino Linotype" w:eastAsia="Palatino Linotype" w:hAnsi="Palatino Linotype"/>
          <w:b w:val="0"/>
          <w:i w:val="1"/>
          <w:smallCaps w:val="0"/>
          <w:strike w:val="0"/>
          <w:color w:val="000000"/>
          <w:sz w:val="16"/>
          <w:szCs w:val="16"/>
          <w:highlight w:val="yellow"/>
          <w:u w:val="none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1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Palatino Linotype" w:cs="Palatino Linotype" w:eastAsia="Palatino Linotype" w:hAnsi="Palatino Linotype"/>
          <w:b w:val="0"/>
          <w:i w:val="1"/>
          <w:smallCaps w:val="0"/>
          <w:strike w:val="0"/>
          <w:color w:val="000000"/>
          <w:sz w:val="16"/>
          <w:szCs w:val="16"/>
          <w:highlight w:val="yellow"/>
          <w:u w:val="none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10442.0" w:type="dxa"/>
        <w:jc w:val="center"/>
        <w:tblLayout w:type="fixed"/>
        <w:tblLook w:val="0000"/>
      </w:tblPr>
      <w:tblGrid>
        <w:gridCol w:w="2110"/>
        <w:gridCol w:w="992"/>
        <w:gridCol w:w="1434"/>
        <w:gridCol w:w="5906"/>
        <w:tblGridChange w:id="0">
          <w:tblGrid>
            <w:gridCol w:w="2110"/>
            <w:gridCol w:w="992"/>
            <w:gridCol w:w="1434"/>
            <w:gridCol w:w="5906"/>
          </w:tblGrid>
        </w:tblGridChange>
      </w:tblGrid>
      <w:t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72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left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Cesano Maderno,  03 I 05 I 2021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74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center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Firma Docente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75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left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Oleari Antonio</w:t>
            </w:r>
          </w:p>
        </w:tc>
      </w:tr>
      <w:t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76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left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Firme di tre studenti </w:t>
            </w:r>
          </w:p>
        </w:tc>
        <w:tc>
          <w:tcPr>
            <w:gridSpan w:val="3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77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left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7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200" w:before="200" w:line="240" w:lineRule="auto"/>
        <w:ind w:left="0" w:right="0" w:firstLine="0"/>
        <w:jc w:val="left"/>
        <w:rPr>
          <w:rFonts w:ascii="Palatino Linotype" w:cs="Palatino Linotype" w:eastAsia="Palatino Linotype" w:hAnsi="Palatino Linotype"/>
          <w:b w:val="0"/>
          <w:i w:val="0"/>
          <w:smallCaps w:val="0"/>
          <w:strike w:val="0"/>
          <w:color w:val="000000"/>
          <w:sz w:val="16"/>
          <w:szCs w:val="16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sectPr>
      <w:footerReference r:id="rId10" w:type="default"/>
      <w:pgSz w:h="16838" w:w="11906" w:orient="portrait"/>
      <w:pgMar w:bottom="557" w:top="470" w:left="470" w:right="470" w:header="720" w:footer="215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Trebuchet MS"/>
  <w:font w:name="Georgia"/>
  <w:font w:name="Arial"/>
  <w:font w:name="Times New Roman"/>
  <w:font w:name="Calibri"/>
  <w:font w:name="Palatino Linotype">
    <w:embedRegular w:fontKey="{00000000-0000-0000-0000-000000000000}" r:id="rId3" w:subsetted="0"/>
    <w:embedBold w:fontKey="{00000000-0000-0000-0000-000000000000}" r:id="rId4" w:subsetted="0"/>
    <w:embedItalic w:fontKey="{00000000-0000-0000-0000-000000000000}" r:id="rId5" w:subsetted="0"/>
    <w:embedBoldItalic w:fontKey="{00000000-0000-0000-0000-000000000000}" r:id="rId6" w:subsetted="0"/>
  </w:font>
  <w:font w:name="Book Antiqua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  <w:font w:name="Libre Baskerville">
    <w:embedRegular w:fontKey="{00000000-0000-0000-0000-000000000000}" r:id="rId11" w:subsetted="0"/>
    <w:embedBold w:fontKey="{00000000-0000-0000-0000-000000000000}" r:id="rId12" w:subsetted="0"/>
    <w:embedItalic w:fontKey="{00000000-0000-0000-0000-000000000000}" r:id="rId13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7B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pos="4819"/>
        <w:tab w:val="right" w:pos="9638"/>
      </w:tabs>
      <w:spacing w:after="0" w:before="0" w:line="240" w:lineRule="auto"/>
      <w:ind w:left="0" w:right="0" w:firstLine="0"/>
      <w:jc w:val="center"/>
      <w:rPr>
        <w:rFonts w:ascii="Calibri" w:cs="Calibri" w:eastAsia="Calibri" w:hAnsi="Calibri"/>
        <w:b w:val="0"/>
        <w:i w:val="0"/>
        <w:smallCaps w:val="0"/>
        <w:strike w:val="0"/>
        <w:color w:val="000000"/>
        <w:sz w:val="16"/>
        <w:szCs w:val="16"/>
        <w:u w:val="none"/>
        <w:shd w:fill="auto" w:val="clear"/>
        <w:vertAlign w:val="baseline"/>
      </w:rPr>
    </w:pPr>
    <w:r w:rsidDel="00000000" w:rsidR="00000000" w:rsidRPr="00000000">
      <w:rPr>
        <w:rFonts w:ascii="Calibri" w:cs="Calibri" w:eastAsia="Calibri" w:hAnsi="Calibri"/>
        <w:b w:val="0"/>
        <w:i w:val="0"/>
        <w:smallCaps w:val="0"/>
        <w:strike w:val="0"/>
        <w:color w:val="000000"/>
        <w:sz w:val="16"/>
        <w:szCs w:val="16"/>
        <w:u w:val="none"/>
        <w:shd w:fill="auto" w:val="clear"/>
        <w:vertAlign w:val="baseline"/>
        <w:rtl w:val="0"/>
      </w:rPr>
      <w:t xml:space="preserve">- 1 -</w:t>
    </w:r>
  </w:p>
  <w:p w:rsidR="00000000" w:rsidDel="00000000" w:rsidP="00000000" w:rsidRDefault="00000000" w:rsidRPr="00000000" w14:paraId="0000007C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pos="4819"/>
        <w:tab w:val="right" w:pos="9638"/>
      </w:tabs>
      <w:spacing w:after="0" w:before="0" w:line="240" w:lineRule="auto"/>
      <w:ind w:left="0" w:right="360" w:firstLine="0"/>
      <w:jc w:val="lef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sz w:val="24"/>
        <w:szCs w:val="24"/>
        <w:lang w:val="it-IT"/>
      </w:rPr>
    </w:rPrDefault>
    <w:pPrDefault>
      <w:pPr>
        <w:widowControl w:val="0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120" w:line="240" w:lineRule="auto"/>
      <w:ind w:left="0" w:right="0" w:firstLine="0"/>
      <w:jc w:val="center"/>
    </w:pPr>
    <w:rPr>
      <w:rFonts w:ascii="Book Antiqua" w:cs="Book Antiqua" w:eastAsia="Book Antiqua" w:hAnsi="Book Antiqua"/>
      <w:b w:val="1"/>
      <w:i w:val="0"/>
      <w:smallCaps w:val="0"/>
      <w:strike w:val="0"/>
      <w:color w:val="000000"/>
      <w:sz w:val="24"/>
      <w:szCs w:val="24"/>
      <w:u w:val="none"/>
      <w:shd w:fill="auto" w:val="clear"/>
      <w:vertAlign w:val="baseline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0" w:firstLine="0"/>
      <w:jc w:val="center"/>
    </w:pPr>
    <w:rPr>
      <w:rFonts w:ascii="Trebuchet MS" w:cs="Trebuchet MS" w:eastAsia="Trebuchet MS" w:hAnsi="Trebuchet MS"/>
      <w:b w:val="0"/>
      <w:i w:val="0"/>
      <w:smallCaps w:val="0"/>
      <w:strike w:val="0"/>
      <w:color w:val="000000"/>
      <w:sz w:val="40"/>
      <w:szCs w:val="40"/>
      <w:u w:val="single"/>
      <w:shd w:fill="auto" w:val="clear"/>
      <w:vertAlign w:val="baseline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e" w:default="1">
    <w:name w:val="Normal"/>
    <w:pPr>
      <w:widowControl w:val="0"/>
      <w:suppressAutoHyphens w:val="1"/>
      <w:autoSpaceDN w:val="0"/>
      <w:textAlignment w:val="baseline"/>
    </w:pPr>
    <w:rPr>
      <w:kern w:val="3"/>
      <w:sz w:val="24"/>
      <w:szCs w:val="24"/>
      <w:lang w:bidi="hi-IN" w:eastAsia="zh-CN"/>
    </w:rPr>
  </w:style>
  <w:style w:type="paragraph" w:styleId="Titolo1">
    <w:name w:val="heading 1"/>
    <w:basedOn w:val="Standard"/>
    <w:next w:val="Standard"/>
    <w:pPr>
      <w:keepNext w:val="1"/>
      <w:spacing w:before="120"/>
      <w:jc w:val="center"/>
      <w:outlineLvl w:val="0"/>
    </w:pPr>
    <w:rPr>
      <w:rFonts w:ascii="Book Antiqua" w:hAnsi="Book Antiqua"/>
      <w:b w:val="1"/>
    </w:rPr>
  </w:style>
  <w:style w:type="paragraph" w:styleId="Titolo3">
    <w:name w:val="heading 3"/>
    <w:basedOn w:val="Standard"/>
    <w:next w:val="Standard"/>
    <w:pPr>
      <w:keepNext w:val="1"/>
      <w:jc w:val="center"/>
      <w:outlineLvl w:val="2"/>
    </w:pPr>
    <w:rPr>
      <w:rFonts w:ascii="Trebuchet MS" w:hAnsi="Trebuchet MS"/>
      <w:sz w:val="40"/>
      <w:u w:val="single"/>
    </w:rPr>
  </w:style>
  <w:style w:type="character" w:styleId="Carpredefinitoparagrafo" w:default="1">
    <w:name w:val="Default Paragraph Font"/>
    <w:uiPriority w:val="1"/>
    <w:semiHidden w:val="1"/>
    <w:unhideWhenUsed w:val="1"/>
  </w:style>
  <w:style w:type="table" w:styleId="Tabellanormale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essunelenco" w:default="1">
    <w:name w:val="No List"/>
    <w:uiPriority w:val="99"/>
    <w:semiHidden w:val="1"/>
    <w:unhideWhenUsed w:val="1"/>
  </w:style>
  <w:style w:type="paragraph" w:styleId="Standard" w:customStyle="1">
    <w:name w:val="Standard"/>
    <w:pPr>
      <w:suppressAutoHyphens w:val="1"/>
      <w:autoSpaceDN w:val="0"/>
      <w:textAlignment w:val="baseline"/>
    </w:pPr>
    <w:rPr>
      <w:rFonts w:cs="Times New Roman" w:eastAsia="Times New Roman"/>
      <w:kern w:val="3"/>
      <w:sz w:val="24"/>
      <w:szCs w:val="24"/>
      <w:lang w:eastAsia="zh-CN"/>
    </w:rPr>
  </w:style>
  <w:style w:type="paragraph" w:styleId="Heading" w:customStyle="1">
    <w:name w:val="Heading"/>
    <w:basedOn w:val="Standard"/>
    <w:next w:val="Textbody"/>
    <w:pPr>
      <w:keepNext w:val="1"/>
      <w:spacing w:after="120" w:before="240"/>
    </w:pPr>
    <w:rPr>
      <w:rFonts w:ascii="Arial" w:cs="Mangal" w:eastAsia="SimSun" w:hAnsi="Arial"/>
      <w:sz w:val="28"/>
      <w:szCs w:val="28"/>
    </w:rPr>
  </w:style>
  <w:style w:type="paragraph" w:styleId="Textbody" w:customStyle="1">
    <w:name w:val="Text body"/>
    <w:basedOn w:val="Standard"/>
    <w:pPr>
      <w:jc w:val="both"/>
    </w:pPr>
  </w:style>
  <w:style w:type="paragraph" w:styleId="Elenco">
    <w:name w:val="List"/>
    <w:basedOn w:val="Textbody"/>
    <w:rPr>
      <w:rFonts w:cs="Mangal"/>
    </w:rPr>
  </w:style>
  <w:style w:type="paragraph" w:styleId="Didascalia">
    <w:name w:val="caption"/>
    <w:basedOn w:val="Standard"/>
    <w:pPr>
      <w:suppressLineNumbers w:val="1"/>
      <w:spacing w:after="120" w:before="120"/>
    </w:pPr>
    <w:rPr>
      <w:rFonts w:cs="Mangal"/>
      <w:i w:val="1"/>
      <w:iCs w:val="1"/>
    </w:rPr>
  </w:style>
  <w:style w:type="paragraph" w:styleId="Index" w:customStyle="1">
    <w:name w:val="Index"/>
    <w:basedOn w:val="Standard"/>
    <w:pPr>
      <w:suppressLineNumbers w:val="1"/>
    </w:pPr>
    <w:rPr>
      <w:rFonts w:cs="Mangal"/>
    </w:rPr>
  </w:style>
  <w:style w:type="paragraph" w:styleId="Corpodeltesto2">
    <w:name w:val="Body Text 2"/>
    <w:basedOn w:val="Standard"/>
    <w:rPr>
      <w:b w:val="1"/>
      <w:bCs w:val="1"/>
      <w:sz w:val="28"/>
    </w:rPr>
  </w:style>
  <w:style w:type="paragraph" w:styleId="Pidipagina">
    <w:name w:val="footer"/>
    <w:basedOn w:val="Standard"/>
    <w:pPr>
      <w:tabs>
        <w:tab w:val="center" w:pos="4819"/>
        <w:tab w:val="right" w:pos="9638"/>
      </w:tabs>
    </w:pPr>
  </w:style>
  <w:style w:type="paragraph" w:styleId="Intestazione">
    <w:name w:val="header"/>
    <w:basedOn w:val="Standard"/>
    <w:pPr>
      <w:tabs>
        <w:tab w:val="center" w:pos="4819"/>
        <w:tab w:val="right" w:pos="9638"/>
      </w:tabs>
    </w:pPr>
  </w:style>
  <w:style w:type="paragraph" w:styleId="Testofumetto">
    <w:name w:val="Balloon Text"/>
    <w:basedOn w:val="Standard"/>
    <w:rPr>
      <w:rFonts w:ascii="Tahoma" w:cs="Tahoma" w:hAnsi="Tahoma"/>
      <w:sz w:val="16"/>
      <w:szCs w:val="16"/>
    </w:rPr>
  </w:style>
  <w:style w:type="paragraph" w:styleId="TableContents" w:customStyle="1">
    <w:name w:val="Table Contents"/>
    <w:basedOn w:val="Standard"/>
    <w:pPr>
      <w:suppressLineNumbers w:val="1"/>
    </w:pPr>
  </w:style>
  <w:style w:type="paragraph" w:styleId="TableHeading" w:customStyle="1">
    <w:name w:val="Table Heading"/>
    <w:basedOn w:val="TableContents"/>
    <w:pPr>
      <w:jc w:val="center"/>
    </w:pPr>
    <w:rPr>
      <w:b w:val="1"/>
      <w:bCs w:val="1"/>
    </w:rPr>
  </w:style>
  <w:style w:type="character" w:styleId="WW8Num1z0" w:customStyle="1">
    <w:name w:val="WW8Num1z0"/>
    <w:rPr>
      <w:b w:val="1"/>
      <w:i w:val="0"/>
    </w:rPr>
  </w:style>
  <w:style w:type="character" w:styleId="WW8Num1z1" w:customStyle="1">
    <w:name w:val="WW8Num1z1"/>
    <w:rPr>
      <w:u w:val="none"/>
    </w:rPr>
  </w:style>
  <w:style w:type="character" w:styleId="WW8Num2z0" w:customStyle="1">
    <w:name w:val="WW8Num2z0"/>
    <w:rPr>
      <w:b w:val="1"/>
      <w:i w:val="0"/>
    </w:rPr>
  </w:style>
  <w:style w:type="character" w:styleId="WW8Num4z0" w:customStyle="1">
    <w:name w:val="WW8Num4z0"/>
    <w:rPr>
      <w:b w:val="1"/>
    </w:rPr>
  </w:style>
  <w:style w:type="character" w:styleId="WW8Num5z0" w:customStyle="1">
    <w:name w:val="WW8Num5z0"/>
    <w:rPr>
      <w:b w:val="1"/>
      <w:i w:val="0"/>
    </w:rPr>
  </w:style>
  <w:style w:type="character" w:styleId="WW8Num6z0" w:customStyle="1">
    <w:name w:val="WW8Num6z0"/>
    <w:rPr>
      <w:rFonts w:ascii="Wingdings 2" w:cs="Times New Roman" w:eastAsia="Times New Roman" w:hAnsi="Wingdings 2"/>
    </w:rPr>
  </w:style>
  <w:style w:type="character" w:styleId="WW8Num6z1" w:customStyle="1">
    <w:name w:val="WW8Num6z1"/>
    <w:rPr>
      <w:rFonts w:ascii="Courier New" w:cs="Courier New" w:hAnsi="Courier New"/>
    </w:rPr>
  </w:style>
  <w:style w:type="character" w:styleId="WW8Num6z2" w:customStyle="1">
    <w:name w:val="WW8Num6z2"/>
    <w:rPr>
      <w:rFonts w:ascii="Wingdings" w:hAnsi="Wingdings"/>
    </w:rPr>
  </w:style>
  <w:style w:type="character" w:styleId="WW8Num6z3" w:customStyle="1">
    <w:name w:val="WW8Num6z3"/>
    <w:rPr>
      <w:rFonts w:ascii="Symbol" w:hAnsi="Symbol"/>
    </w:rPr>
  </w:style>
  <w:style w:type="character" w:styleId="WW8Num8z0" w:customStyle="1">
    <w:name w:val="WW8Num8z0"/>
    <w:rPr>
      <w:rFonts w:ascii="Wingdings" w:hAnsi="Wingdings"/>
    </w:rPr>
  </w:style>
  <w:style w:type="character" w:styleId="WW8Num8z1" w:customStyle="1">
    <w:name w:val="WW8Num8z1"/>
    <w:rPr>
      <w:rFonts w:ascii="Courier New" w:cs="Courier New" w:hAnsi="Courier New"/>
    </w:rPr>
  </w:style>
  <w:style w:type="character" w:styleId="WW8Num8z3" w:customStyle="1">
    <w:name w:val="WW8Num8z3"/>
    <w:rPr>
      <w:rFonts w:ascii="Symbol" w:hAnsi="Symbol"/>
    </w:rPr>
  </w:style>
  <w:style w:type="character" w:styleId="WW8Num10z0" w:customStyle="1">
    <w:name w:val="WW8Num10z0"/>
    <w:rPr>
      <w:b w:val="1"/>
    </w:rPr>
  </w:style>
  <w:style w:type="character" w:styleId="WW8Num11z0" w:customStyle="1">
    <w:name w:val="WW8Num11z0"/>
    <w:rPr>
      <w:b w:val="1"/>
    </w:rPr>
  </w:style>
  <w:style w:type="character" w:styleId="WW8Num12z0" w:customStyle="1">
    <w:name w:val="WW8Num12z0"/>
    <w:rPr>
      <w:b w:val="1"/>
      <w:i w:val="0"/>
    </w:rPr>
  </w:style>
  <w:style w:type="character" w:styleId="WW8Num12z1" w:customStyle="1">
    <w:name w:val="WW8Num12z1"/>
    <w:rPr>
      <w:rFonts w:ascii="Symbol" w:hAnsi="Symbol"/>
      <w:b w:val="1"/>
      <w:i w:val="0"/>
    </w:rPr>
  </w:style>
  <w:style w:type="character" w:styleId="WW8Num13z0" w:customStyle="1">
    <w:name w:val="WW8Num13z0"/>
    <w:rPr>
      <w:b w:val="1"/>
    </w:rPr>
  </w:style>
  <w:style w:type="character" w:styleId="WW8Num14z0" w:customStyle="1">
    <w:name w:val="WW8Num14z0"/>
    <w:rPr>
      <w:rFonts w:ascii="Wingdings" w:cs="Times New Roman" w:eastAsia="Times New Roman" w:hAnsi="Wingdings"/>
    </w:rPr>
  </w:style>
  <w:style w:type="character" w:styleId="WW8Num14z1" w:customStyle="1">
    <w:name w:val="WW8Num14z1"/>
    <w:rPr>
      <w:rFonts w:ascii="Courier New" w:cs="Courier New" w:hAnsi="Courier New"/>
    </w:rPr>
  </w:style>
  <w:style w:type="character" w:styleId="WW8Num14z2" w:customStyle="1">
    <w:name w:val="WW8Num14z2"/>
    <w:rPr>
      <w:rFonts w:ascii="Wingdings" w:hAnsi="Wingdings"/>
    </w:rPr>
  </w:style>
  <w:style w:type="character" w:styleId="WW8Num14z3" w:customStyle="1">
    <w:name w:val="WW8Num14z3"/>
    <w:rPr>
      <w:rFonts w:ascii="Symbol" w:hAnsi="Symbol"/>
    </w:rPr>
  </w:style>
  <w:style w:type="character" w:styleId="WW8Num17z0" w:customStyle="1">
    <w:name w:val="WW8Num17z0"/>
    <w:rPr>
      <w:b w:val="1"/>
      <w:i w:val="0"/>
    </w:rPr>
  </w:style>
  <w:style w:type="character" w:styleId="WW8Num21z0" w:customStyle="1">
    <w:name w:val="WW8Num21z0"/>
    <w:rPr>
      <w:b w:val="1"/>
      <w:i w:val="0"/>
    </w:rPr>
  </w:style>
  <w:style w:type="character" w:styleId="WW8Num22z0" w:customStyle="1">
    <w:name w:val="WW8Num22z0"/>
    <w:rPr>
      <w:b w:val="1"/>
      <w:i w:val="0"/>
    </w:rPr>
  </w:style>
  <w:style w:type="character" w:styleId="WW8Num22z1" w:customStyle="1">
    <w:name w:val="WW8Num22z1"/>
    <w:rPr>
      <w:u w:val="none"/>
    </w:rPr>
  </w:style>
  <w:style w:type="character" w:styleId="WW8Num23z0" w:customStyle="1">
    <w:name w:val="WW8Num23z0"/>
    <w:rPr>
      <w:b w:val="1"/>
      <w:i w:val="0"/>
    </w:rPr>
  </w:style>
  <w:style w:type="character" w:styleId="WW8Num23z1" w:customStyle="1">
    <w:name w:val="WW8Num23z1"/>
    <w:rPr>
      <w:u w:val="none"/>
    </w:rPr>
  </w:style>
  <w:style w:type="character" w:styleId="WW8Num25z0" w:customStyle="1">
    <w:name w:val="WW8Num25z0"/>
    <w:rPr>
      <w:b w:val="1"/>
      <w:i w:val="0"/>
    </w:rPr>
  </w:style>
  <w:style w:type="character" w:styleId="WW8Num25z1" w:customStyle="1">
    <w:name w:val="WW8Num25z1"/>
    <w:rPr>
      <w:u w:val="none"/>
    </w:rPr>
  </w:style>
  <w:style w:type="character" w:styleId="WW8Num27z1" w:customStyle="1">
    <w:name w:val="WW8Num27z1"/>
    <w:rPr>
      <w:u w:val="none"/>
    </w:rPr>
  </w:style>
  <w:style w:type="character" w:styleId="WW8Num28z0" w:customStyle="1">
    <w:name w:val="WW8Num28z0"/>
    <w:rPr>
      <w:b w:val="1"/>
      <w:i w:val="0"/>
    </w:rPr>
  </w:style>
  <w:style w:type="character" w:styleId="WW8Num28z1" w:customStyle="1">
    <w:name w:val="WW8Num28z1"/>
    <w:rPr>
      <w:u w:val="none"/>
    </w:rPr>
  </w:style>
  <w:style w:type="character" w:styleId="WW8Num29z0" w:customStyle="1">
    <w:name w:val="WW8Num29z0"/>
    <w:rPr>
      <w:b w:val="1"/>
    </w:rPr>
  </w:style>
  <w:style w:type="character" w:styleId="WW8Num30z0" w:customStyle="1">
    <w:name w:val="WW8Num30z0"/>
    <w:rPr>
      <w:b w:val="1"/>
    </w:rPr>
  </w:style>
  <w:style w:type="character" w:styleId="WW8Num31z0" w:customStyle="1">
    <w:name w:val="WW8Num31z0"/>
    <w:rPr>
      <w:b w:val="1"/>
    </w:rPr>
  </w:style>
  <w:style w:type="character" w:styleId="WW8Num32z0" w:customStyle="1">
    <w:name w:val="WW8Num32z0"/>
    <w:rPr>
      <w:rFonts w:ascii="Courier New" w:cs="Courier New" w:hAnsi="Courier New"/>
    </w:rPr>
  </w:style>
  <w:style w:type="character" w:styleId="WW8Num32z2" w:customStyle="1">
    <w:name w:val="WW8Num32z2"/>
    <w:rPr>
      <w:rFonts w:ascii="Wingdings" w:hAnsi="Wingdings"/>
    </w:rPr>
  </w:style>
  <w:style w:type="character" w:styleId="WW8Num32z3" w:customStyle="1">
    <w:name w:val="WW8Num32z3"/>
    <w:rPr>
      <w:rFonts w:ascii="Symbol" w:hAnsi="Symbol"/>
    </w:rPr>
  </w:style>
  <w:style w:type="character" w:styleId="WW8Num33z0" w:customStyle="1">
    <w:name w:val="WW8Num33z0"/>
    <w:rPr>
      <w:b w:val="1"/>
      <w:i w:val="0"/>
    </w:rPr>
  </w:style>
  <w:style w:type="character" w:styleId="WW8Num33z1" w:customStyle="1">
    <w:name w:val="WW8Num33z1"/>
    <w:rPr>
      <w:u w:val="none"/>
    </w:rPr>
  </w:style>
  <w:style w:type="character" w:styleId="WW8Num34z0" w:customStyle="1">
    <w:name w:val="WW8Num34z0"/>
    <w:rPr>
      <w:b w:val="1"/>
    </w:rPr>
  </w:style>
  <w:style w:type="character" w:styleId="WW8Num35z1" w:customStyle="1">
    <w:name w:val="WW8Num35z1"/>
    <w:rPr>
      <w:u w:val="none"/>
    </w:rPr>
  </w:style>
  <w:style w:type="character" w:styleId="WW8Num36z0" w:customStyle="1">
    <w:name w:val="WW8Num36z0"/>
    <w:rPr>
      <w:b w:val="1"/>
      <w:i w:val="0"/>
    </w:rPr>
  </w:style>
  <w:style w:type="character" w:styleId="WW8Num37z0" w:customStyle="1">
    <w:name w:val="WW8Num37z0"/>
    <w:rPr>
      <w:rFonts w:ascii="Wingdings" w:hAnsi="Wingdings"/>
    </w:rPr>
  </w:style>
  <w:style w:type="character" w:styleId="WW8Num37z1" w:customStyle="1">
    <w:name w:val="WW8Num37z1"/>
    <w:rPr>
      <w:rFonts w:ascii="Courier New" w:cs="Courier New" w:hAnsi="Courier New"/>
    </w:rPr>
  </w:style>
  <w:style w:type="character" w:styleId="WW8Num37z3" w:customStyle="1">
    <w:name w:val="WW8Num37z3"/>
    <w:rPr>
      <w:rFonts w:ascii="Symbol" w:hAnsi="Symbol"/>
    </w:rPr>
  </w:style>
  <w:style w:type="character" w:styleId="Numeropagina">
    <w:name w:val="page number"/>
    <w:basedOn w:val="Carpredefinitoparagrafo"/>
  </w:style>
  <w:style w:type="character" w:styleId="PidipaginaCarattere" w:customStyle="1">
    <w:name w:val="Piè di pagina Carattere"/>
    <w:rPr>
      <w:sz w:val="24"/>
      <w:szCs w:val="24"/>
    </w:rPr>
  </w:style>
  <w:style w:type="character" w:styleId="Titolo1Carattere" w:customStyle="1">
    <w:name w:val="Titolo 1 Carattere"/>
    <w:rPr>
      <w:rFonts w:ascii="Book Antiqua" w:hAnsi="Book Antiqua"/>
      <w:b w:val="1"/>
      <w:sz w:val="24"/>
      <w:szCs w:val="24"/>
    </w:rPr>
  </w:style>
  <w:style w:type="character" w:styleId="Titolo3Carattere" w:customStyle="1">
    <w:name w:val="Titolo 3 Carattere"/>
    <w:rPr>
      <w:rFonts w:ascii="Trebuchet MS" w:hAnsi="Trebuchet MS"/>
      <w:sz w:val="40"/>
      <w:szCs w:val="24"/>
      <w:u w:val="single"/>
    </w:rPr>
  </w:style>
  <w:style w:type="character" w:styleId="IntestazioneCarattere" w:customStyle="1">
    <w:name w:val="Intestazione Carattere"/>
    <w:rPr>
      <w:sz w:val="24"/>
      <w:szCs w:val="24"/>
    </w:rPr>
  </w:style>
  <w:style w:type="character" w:styleId="TestofumettoCarattere" w:customStyle="1">
    <w:name w:val="Testo fumetto Carattere"/>
    <w:rPr>
      <w:rFonts w:ascii="Tahoma" w:cs="Tahoma" w:hAnsi="Tahoma"/>
      <w:sz w:val="16"/>
      <w:szCs w:val="16"/>
    </w:rPr>
  </w:style>
  <w:style w:type="character" w:styleId="NumberingSymbols" w:customStyle="1">
    <w:name w:val="Numbering Symbols"/>
  </w:style>
  <w:style w:type="character" w:styleId="BulletSymbols" w:customStyle="1">
    <w:name w:val="Bullet Symbols"/>
    <w:rPr>
      <w:rFonts w:ascii="OpenSymbol" w:cs="OpenSymbol" w:eastAsia="OpenSymbol" w:hAnsi="OpenSymbol"/>
    </w:rPr>
  </w:style>
  <w:style w:type="paragraph" w:styleId="Corpotesto">
    <w:name w:val="Body Text"/>
    <w:basedOn w:val="Normale"/>
    <w:link w:val="CorpotestoCarattere"/>
    <w:uiPriority w:val="99"/>
    <w:unhideWhenUsed w:val="1"/>
    <w:rsid w:val="0086383F"/>
    <w:pPr>
      <w:spacing w:after="120"/>
    </w:pPr>
    <w:rPr>
      <w:szCs w:val="21"/>
    </w:rPr>
  </w:style>
  <w:style w:type="character" w:styleId="CorpotestoCarattere" w:customStyle="1">
    <w:name w:val="Corpo testo Carattere"/>
    <w:basedOn w:val="Carpredefinitoparagrafo"/>
    <w:link w:val="Corpotesto"/>
    <w:uiPriority w:val="99"/>
    <w:rsid w:val="0086383F"/>
    <w:rPr>
      <w:kern w:val="3"/>
      <w:sz w:val="24"/>
      <w:szCs w:val="21"/>
      <w:lang w:bidi="hi-IN" w:eastAsia="zh-CN"/>
    </w:rPr>
  </w:style>
  <w:style w:type="numbering" w:styleId="WW8Num1" w:customStyle="1">
    <w:name w:val="WW8Num1"/>
    <w:basedOn w:val="Nessunelenco"/>
    <w:pPr>
      <w:numPr>
        <w:numId w:val="1"/>
      </w:numPr>
    </w:pPr>
  </w:style>
  <w:style w:type="numbering" w:styleId="WW8Num2" w:customStyle="1">
    <w:name w:val="WW8Num2"/>
    <w:basedOn w:val="Nessunelenco"/>
    <w:pPr>
      <w:numPr>
        <w:numId w:val="2"/>
      </w:numPr>
    </w:pPr>
  </w:style>
  <w:style w:type="numbering" w:styleId="WW8Num3" w:customStyle="1">
    <w:name w:val="WW8Num3"/>
    <w:basedOn w:val="Nessunelenco"/>
    <w:pPr>
      <w:numPr>
        <w:numId w:val="3"/>
      </w:numPr>
    </w:pPr>
  </w:style>
  <w:style w:type="numbering" w:styleId="WW8Num4" w:customStyle="1">
    <w:name w:val="WW8Num4"/>
    <w:basedOn w:val="Nessunelenco"/>
    <w:pPr>
      <w:numPr>
        <w:numId w:val="4"/>
      </w:numPr>
    </w:pPr>
  </w:style>
  <w:style w:type="numbering" w:styleId="WW8Num5" w:customStyle="1">
    <w:name w:val="WW8Num5"/>
    <w:basedOn w:val="Nessunelenco"/>
    <w:pPr>
      <w:numPr>
        <w:numId w:val="5"/>
      </w:numPr>
    </w:pPr>
  </w:style>
  <w:style w:type="numbering" w:styleId="WW8Num6" w:customStyle="1">
    <w:name w:val="WW8Num6"/>
    <w:basedOn w:val="Nessunelenco"/>
    <w:pPr>
      <w:numPr>
        <w:numId w:val="6"/>
      </w:numPr>
    </w:pPr>
  </w:style>
  <w:style w:type="numbering" w:styleId="WW8Num7" w:customStyle="1">
    <w:name w:val="WW8Num7"/>
    <w:basedOn w:val="Nessunelenco"/>
    <w:pPr>
      <w:numPr>
        <w:numId w:val="7"/>
      </w:numPr>
    </w:pPr>
  </w:style>
  <w:style w:type="numbering" w:styleId="WW8Num8" w:customStyle="1">
    <w:name w:val="WW8Num8"/>
    <w:basedOn w:val="Nessunelenco"/>
    <w:pPr>
      <w:numPr>
        <w:numId w:val="8"/>
      </w:numPr>
    </w:pPr>
  </w:style>
  <w:style w:type="numbering" w:styleId="WW8Num9" w:customStyle="1">
    <w:name w:val="WW8Num9"/>
    <w:basedOn w:val="Nessunelenco"/>
    <w:pPr>
      <w:numPr>
        <w:numId w:val="9"/>
      </w:numPr>
    </w:pPr>
  </w:style>
  <w:style w:type="numbering" w:styleId="WW8Num10" w:customStyle="1">
    <w:name w:val="WW8Num10"/>
    <w:basedOn w:val="Nessunelenco"/>
    <w:pPr>
      <w:numPr>
        <w:numId w:val="10"/>
      </w:numPr>
    </w:pPr>
  </w:style>
  <w:style w:type="numbering" w:styleId="WW8Num11" w:customStyle="1">
    <w:name w:val="WW8Num11"/>
    <w:basedOn w:val="Nessunelenco"/>
    <w:pPr>
      <w:numPr>
        <w:numId w:val="11"/>
      </w:numPr>
    </w:pPr>
  </w:style>
  <w:style w:type="numbering" w:styleId="WW8Num12" w:customStyle="1">
    <w:name w:val="WW8Num12"/>
    <w:basedOn w:val="Nessunelenco"/>
    <w:pPr>
      <w:numPr>
        <w:numId w:val="12"/>
      </w:numPr>
    </w:pPr>
  </w:style>
  <w:style w:type="numbering" w:styleId="WW8Num13" w:customStyle="1">
    <w:name w:val="WW8Num13"/>
    <w:basedOn w:val="Nessunelenco"/>
    <w:pPr>
      <w:numPr>
        <w:numId w:val="13"/>
      </w:numPr>
    </w:pPr>
  </w:style>
  <w:style w:type="numbering" w:styleId="WW8Num14" w:customStyle="1">
    <w:name w:val="WW8Num14"/>
    <w:basedOn w:val="Nessunelenco"/>
    <w:pPr>
      <w:numPr>
        <w:numId w:val="14"/>
      </w:numPr>
    </w:pPr>
  </w:style>
  <w:style w:type="numbering" w:styleId="WW8Num15" w:customStyle="1">
    <w:name w:val="WW8Num15"/>
    <w:basedOn w:val="Nessunelenco"/>
    <w:pPr>
      <w:numPr>
        <w:numId w:val="15"/>
      </w:numPr>
    </w:pPr>
  </w:style>
  <w:style w:type="numbering" w:styleId="WW8Num16" w:customStyle="1">
    <w:name w:val="WW8Num16"/>
    <w:basedOn w:val="Nessunelenco"/>
    <w:pPr>
      <w:numPr>
        <w:numId w:val="16"/>
      </w:numPr>
    </w:pPr>
  </w:style>
  <w:style w:type="numbering" w:styleId="WW8Num17" w:customStyle="1">
    <w:name w:val="WW8Num17"/>
    <w:basedOn w:val="Nessunelenco"/>
    <w:pPr>
      <w:numPr>
        <w:numId w:val="17"/>
      </w:numPr>
    </w:pPr>
  </w:style>
  <w:style w:type="numbering" w:styleId="WW8Num18" w:customStyle="1">
    <w:name w:val="WW8Num18"/>
    <w:basedOn w:val="Nessunelenco"/>
    <w:pPr>
      <w:numPr>
        <w:numId w:val="18"/>
      </w:numPr>
    </w:pPr>
  </w:style>
  <w:style w:type="numbering" w:styleId="WW8Num19" w:customStyle="1">
    <w:name w:val="WW8Num19"/>
    <w:basedOn w:val="Nessunelenco"/>
    <w:pPr>
      <w:numPr>
        <w:numId w:val="19"/>
      </w:numPr>
    </w:pPr>
  </w:style>
  <w:style w:type="numbering" w:styleId="WW8Num20" w:customStyle="1">
    <w:name w:val="WW8Num20"/>
    <w:basedOn w:val="Nessunelenco"/>
    <w:pPr>
      <w:numPr>
        <w:numId w:val="20"/>
      </w:numPr>
    </w:pPr>
  </w:style>
  <w:style w:type="numbering" w:styleId="WW8Num21" w:customStyle="1">
    <w:name w:val="WW8Num21"/>
    <w:basedOn w:val="Nessunelenco"/>
    <w:pPr>
      <w:numPr>
        <w:numId w:val="21"/>
      </w:numPr>
    </w:pPr>
  </w:style>
  <w:style w:type="numbering" w:styleId="WW8Num22" w:customStyle="1">
    <w:name w:val="WW8Num22"/>
    <w:basedOn w:val="Nessunelenco"/>
    <w:pPr>
      <w:numPr>
        <w:numId w:val="22"/>
      </w:numPr>
    </w:pPr>
  </w:style>
  <w:style w:type="numbering" w:styleId="WW8Num23" w:customStyle="1">
    <w:name w:val="WW8Num23"/>
    <w:basedOn w:val="Nessunelenco"/>
    <w:pPr>
      <w:numPr>
        <w:numId w:val="23"/>
      </w:numPr>
    </w:pPr>
  </w:style>
  <w:style w:type="numbering" w:styleId="WW8Num24" w:customStyle="1">
    <w:name w:val="WW8Num24"/>
    <w:basedOn w:val="Nessunelenco"/>
    <w:pPr>
      <w:numPr>
        <w:numId w:val="24"/>
      </w:numPr>
    </w:pPr>
  </w:style>
  <w:style w:type="numbering" w:styleId="WW8Num25" w:customStyle="1">
    <w:name w:val="WW8Num25"/>
    <w:basedOn w:val="Nessunelenco"/>
    <w:pPr>
      <w:numPr>
        <w:numId w:val="25"/>
      </w:numPr>
    </w:pPr>
  </w:style>
  <w:style w:type="numbering" w:styleId="WW8Num26" w:customStyle="1">
    <w:name w:val="WW8Num26"/>
    <w:basedOn w:val="Nessunelenco"/>
    <w:pPr>
      <w:numPr>
        <w:numId w:val="26"/>
      </w:numPr>
    </w:pPr>
  </w:style>
  <w:style w:type="numbering" w:styleId="WW8Num27" w:customStyle="1">
    <w:name w:val="WW8Num27"/>
    <w:basedOn w:val="Nessunelenco"/>
    <w:pPr>
      <w:numPr>
        <w:numId w:val="27"/>
      </w:numPr>
    </w:pPr>
  </w:style>
  <w:style w:type="numbering" w:styleId="WW8Num28" w:customStyle="1">
    <w:name w:val="WW8Num28"/>
    <w:basedOn w:val="Nessunelenco"/>
    <w:pPr>
      <w:numPr>
        <w:numId w:val="28"/>
      </w:numPr>
    </w:pPr>
  </w:style>
  <w:style w:type="numbering" w:styleId="WW8Num29" w:customStyle="1">
    <w:name w:val="WW8Num29"/>
    <w:basedOn w:val="Nessunelenco"/>
    <w:pPr>
      <w:numPr>
        <w:numId w:val="29"/>
      </w:numPr>
    </w:pPr>
  </w:style>
  <w:style w:type="numbering" w:styleId="WW8Num30" w:customStyle="1">
    <w:name w:val="WW8Num30"/>
    <w:basedOn w:val="Nessunelenco"/>
    <w:pPr>
      <w:numPr>
        <w:numId w:val="30"/>
      </w:numPr>
    </w:pPr>
  </w:style>
  <w:style w:type="numbering" w:styleId="WW8Num31" w:customStyle="1">
    <w:name w:val="WW8Num31"/>
    <w:basedOn w:val="Nessunelenco"/>
    <w:pPr>
      <w:numPr>
        <w:numId w:val="31"/>
      </w:numPr>
    </w:pPr>
  </w:style>
  <w:style w:type="numbering" w:styleId="WW8Num32" w:customStyle="1">
    <w:name w:val="WW8Num32"/>
    <w:basedOn w:val="Nessunelenco"/>
    <w:pPr>
      <w:numPr>
        <w:numId w:val="32"/>
      </w:numPr>
    </w:pPr>
  </w:style>
  <w:style w:type="numbering" w:styleId="WW8Num33" w:customStyle="1">
    <w:name w:val="WW8Num33"/>
    <w:basedOn w:val="Nessunelenco"/>
    <w:pPr>
      <w:numPr>
        <w:numId w:val="33"/>
      </w:numPr>
    </w:pPr>
  </w:style>
  <w:style w:type="numbering" w:styleId="WW8Num34" w:customStyle="1">
    <w:name w:val="WW8Num34"/>
    <w:basedOn w:val="Nessunelenco"/>
    <w:pPr>
      <w:numPr>
        <w:numId w:val="34"/>
      </w:numPr>
    </w:pPr>
  </w:style>
  <w:style w:type="numbering" w:styleId="WW8Num35" w:customStyle="1">
    <w:name w:val="WW8Num35"/>
    <w:basedOn w:val="Nessunelenco"/>
    <w:pPr>
      <w:numPr>
        <w:numId w:val="35"/>
      </w:numPr>
    </w:pPr>
  </w:style>
  <w:style w:type="numbering" w:styleId="WW8Num36" w:customStyle="1">
    <w:name w:val="WW8Num36"/>
    <w:basedOn w:val="Nessunelenco"/>
    <w:pPr>
      <w:numPr>
        <w:numId w:val="36"/>
      </w:numPr>
    </w:pPr>
  </w:style>
  <w:style w:type="numbering" w:styleId="WW8Num37" w:customStyle="1">
    <w:name w:val="WW8Num37"/>
    <w:basedOn w:val="Nessunelenco"/>
    <w:pPr>
      <w:numPr>
        <w:numId w:val="37"/>
      </w:numPr>
    </w:pPr>
  </w:style>
  <w:style w:type="paragraph" w:styleId="Paragrafoelenco">
    <w:name w:val="List Paragraph"/>
    <w:basedOn w:val="Normale"/>
    <w:uiPriority w:val="99"/>
    <w:qFormat w:val="1"/>
    <w:rsid w:val="00381D18"/>
    <w:pPr>
      <w:ind w:left="720"/>
      <w:contextualSpacing w:val="1"/>
    </w:pPr>
    <w:rPr>
      <w:szCs w:val="21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0.0" w:type="dxa"/>
        <w:bottom w:w="0.0" w:type="dxa"/>
        <w:right w:w="1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0.0" w:type="dxa"/>
        <w:bottom w:w="0.0" w:type="dxa"/>
        <w:right w:w="10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0.0" w:type="dxa"/>
        <w:left w:w="10.0" w:type="dxa"/>
        <w:bottom w:w="0.0" w:type="dxa"/>
        <w:right w:w="1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Relationship Id="rId2" Type="http://schemas.openxmlformats.org/officeDocument/2006/relationships/oleObject" Target="embeddings/oleObject1.bin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10" Type="http://schemas.openxmlformats.org/officeDocument/2006/relationships/footer" Target="footer1.xml"/><Relationship Id="rId9" Type="http://schemas.openxmlformats.org/officeDocument/2006/relationships/image" Target="media/image2.png"/><Relationship Id="rId5" Type="http://schemas.openxmlformats.org/officeDocument/2006/relationships/fontTable" Target="fontTable.xml"/><Relationship Id="rId6" Type="http://schemas.openxmlformats.org/officeDocument/2006/relationships/numbering" Target="numbering.xml"/><Relationship Id="rId7" Type="http://schemas.openxmlformats.org/officeDocument/2006/relationships/styles" Target="styles.xml"/><Relationship Id="rId8" Type="http://schemas.openxmlformats.org/officeDocument/2006/relationships/customXml" Target="../customXML/item1.xml"/></Relationships>
</file>

<file path=word/_rels/fontTable.xml.rels><?xml version="1.0" encoding="UTF-8" standalone="yes"?><Relationships xmlns="http://schemas.openxmlformats.org/package/2006/relationships"><Relationship Id="rId3" Type="http://schemas.openxmlformats.org/officeDocument/2006/relationships/font" Target="fonts/PalatinoLinotype-regular.ttf"/><Relationship Id="rId4" Type="http://schemas.openxmlformats.org/officeDocument/2006/relationships/font" Target="fonts/PalatinoLinotype-bold.ttf"/><Relationship Id="rId11" Type="http://schemas.openxmlformats.org/officeDocument/2006/relationships/font" Target="fonts/LibreBaskerville-regular.ttf"/><Relationship Id="rId10" Type="http://schemas.openxmlformats.org/officeDocument/2006/relationships/font" Target="fonts/BookAntiqua-boldItalic.ttf"/><Relationship Id="rId13" Type="http://schemas.openxmlformats.org/officeDocument/2006/relationships/font" Target="fonts/LibreBaskerville-italic.ttf"/><Relationship Id="rId12" Type="http://schemas.openxmlformats.org/officeDocument/2006/relationships/font" Target="fonts/LibreBaskerville-bold.ttf"/><Relationship Id="rId9" Type="http://schemas.openxmlformats.org/officeDocument/2006/relationships/font" Target="fonts/BookAntiqua-italic.ttf"/><Relationship Id="rId5" Type="http://schemas.openxmlformats.org/officeDocument/2006/relationships/font" Target="fonts/PalatinoLinotype-italic.ttf"/><Relationship Id="rId6" Type="http://schemas.openxmlformats.org/officeDocument/2006/relationships/font" Target="fonts/PalatinoLinotype-boldItalic.ttf"/><Relationship Id="rId7" Type="http://schemas.openxmlformats.org/officeDocument/2006/relationships/font" Target="fonts/BookAntiqua-regular.ttf"/><Relationship Id="rId8" Type="http://schemas.openxmlformats.org/officeDocument/2006/relationships/font" Target="fonts/BookAntiqua-bold.tt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3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ivn64WHNk8C0YGAgUj2RBzNpW1/w==">AMUW2mWcUSC1vIYy354hduVmxsXARn/6dtFUsEoZslHJ/towxL1aCv7hl2EaigZVioJgtFiDyxzrZHO7YEfTsg/ar4l20UctJ9sznzQvY4Ha1GYR430IOv2P2uu7iTnUWVjW8bD9BuTV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2021-06-03T13:28:00Z</dcterms:created>
  <dc:creator>Patrizia Zafferami</dc:creator>
</cp:coreProperties>
</file>