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0"/>
        <w:gridCol w:w="8031"/>
      </w:tblGrid>
      <w:tr w:rsidR="003E7854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E7854" w:rsidRDefault="00D67ED8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6" w:dyaOrig="2355">
                <v:shape id="ole_rId3" o:spid="_x0000_i1025" style="width:46.2pt;height:29.4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83800197" r:id="rId9"/>
              </w:object>
            </w:r>
          </w:p>
        </w:tc>
        <w:tc>
          <w:tcPr>
            <w:tcW w:w="80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3E7854" w:rsidRDefault="00D67ED8">
            <w:pPr>
              <w:pStyle w:val="Standard"/>
              <w:widowControl w:val="0"/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E7854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Titolo3"/>
              <w:widowControl w:val="0"/>
              <w:numPr>
                <w:ilvl w:val="2"/>
                <w:numId w:val="2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E7854" w:rsidRDefault="003E7854">
      <w:pPr>
        <w:pStyle w:val="Corpodeltesto2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4138"/>
        <w:gridCol w:w="1134"/>
        <w:gridCol w:w="4169"/>
      </w:tblGrid>
      <w:tr w:rsidR="003E785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2DI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DIRITTO ED ECONOMIA</w:t>
            </w:r>
          </w:p>
        </w:tc>
      </w:tr>
      <w:tr w:rsidR="003E785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Prof. Damiano Mary Antonia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3E7854" w:rsidRDefault="003E7854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E7854" w:rsidRDefault="00D67ED8">
      <w:pPr>
        <w:pStyle w:val="Standard"/>
        <w:tabs>
          <w:tab w:val="left" w:pos="7460"/>
        </w:tabs>
        <w:spacing w:before="57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Economia</w:t>
      </w:r>
    </w:p>
    <w:p w:rsidR="003E7854" w:rsidRDefault="003E7854">
      <w:pPr>
        <w:pStyle w:val="Standard"/>
        <w:tabs>
          <w:tab w:val="left" w:pos="7460"/>
        </w:tabs>
        <w:spacing w:before="57"/>
        <w:jc w:val="center"/>
        <w:rPr>
          <w:rFonts w:ascii="Calibri" w:eastAsia="Calibri" w:hAnsi="Calibri" w:cs="Calibri"/>
          <w:sz w:val="22"/>
          <w:szCs w:val="22"/>
        </w:rPr>
      </w:pPr>
    </w:p>
    <w:p w:rsidR="003E7854" w:rsidRDefault="00D67ED8">
      <w:pPr>
        <w:pStyle w:val="Normale1"/>
        <w:rPr>
          <w:b/>
          <w:sz w:val="20"/>
          <w:szCs w:val="20"/>
        </w:rPr>
      </w:pPr>
      <w:proofErr w:type="spellStart"/>
      <w:r>
        <w:rPr>
          <w:sz w:val="20"/>
          <w:szCs w:val="20"/>
        </w:rPr>
        <w:t>Mod</w:t>
      </w:r>
      <w:proofErr w:type="spellEnd"/>
      <w:r>
        <w:rPr>
          <w:sz w:val="20"/>
          <w:szCs w:val="20"/>
        </w:rPr>
        <w:t xml:space="preserve"> 1 </w:t>
      </w:r>
      <w:r>
        <w:rPr>
          <w:b/>
          <w:sz w:val="20"/>
          <w:szCs w:val="20"/>
        </w:rPr>
        <w:t>Produzione, impresa e mercato</w:t>
      </w:r>
    </w:p>
    <w:p w:rsidR="003E7854" w:rsidRDefault="00D67ED8">
      <w:pPr>
        <w:pStyle w:val="Normale1"/>
      </w:pPr>
      <w:r>
        <w:rPr>
          <w:sz w:val="20"/>
          <w:szCs w:val="20"/>
        </w:rPr>
        <w:t>UD1. La produzione e i suoi fattori.</w:t>
      </w:r>
    </w:p>
    <w:p w:rsidR="003E7854" w:rsidRDefault="00D67ED8">
      <w:pPr>
        <w:pStyle w:val="Normale1"/>
        <w:ind w:left="223" w:firstLine="180"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  <w:t xml:space="preserve">La remunerazione dei fattori produttivi.                                  </w:t>
      </w:r>
    </w:p>
    <w:p w:rsidR="003E7854" w:rsidRDefault="00D67ED8">
      <w:pPr>
        <w:pStyle w:val="Normale1"/>
        <w:ind w:left="223" w:firstLine="180"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La combinazione dei fattori.                                                       </w:t>
      </w:r>
    </w:p>
    <w:p w:rsidR="003E7854" w:rsidRDefault="00D67ED8">
      <w:pPr>
        <w:pStyle w:val="Normale1"/>
      </w:pPr>
      <w:r>
        <w:rPr>
          <w:sz w:val="20"/>
          <w:szCs w:val="20"/>
        </w:rPr>
        <w:t>UD2. L’impresa.</w:t>
      </w:r>
    </w:p>
    <w:p w:rsidR="003E7854" w:rsidRDefault="00D67ED8">
      <w:pPr>
        <w:pStyle w:val="Normale1"/>
        <w:ind w:left="223" w:firstLine="180"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>Nozione e tipologie di imprese.</w:t>
      </w:r>
    </w:p>
    <w:p w:rsidR="003E7854" w:rsidRDefault="00D67ED8">
      <w:pPr>
        <w:pStyle w:val="Normale1"/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ab/>
        <w:t>Gruppi di imprese.</w:t>
      </w:r>
    </w:p>
    <w:p w:rsidR="003E7854" w:rsidRDefault="00D67ED8">
      <w:pPr>
        <w:pStyle w:val="Normale1"/>
        <w:ind w:left="223" w:firstLine="180"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Le </w:t>
      </w:r>
      <w:proofErr w:type="gramStart"/>
      <w:r>
        <w:rPr>
          <w:sz w:val="20"/>
          <w:szCs w:val="20"/>
        </w:rPr>
        <w:t>multinazionali .</w:t>
      </w:r>
      <w:proofErr w:type="gramEnd"/>
    </w:p>
    <w:p w:rsidR="003E7854" w:rsidRDefault="00D67ED8">
      <w:pPr>
        <w:pStyle w:val="Normale1"/>
      </w:pPr>
      <w:r>
        <w:rPr>
          <w:sz w:val="20"/>
          <w:szCs w:val="20"/>
        </w:rPr>
        <w:t>UD3. Il mercato e le sue leggi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mercato e la sua funzione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Tipi di mercato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Il prezzo e la sua formazione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La domanda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L’Offerta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prezzo di equilibrio</w:t>
      </w:r>
    </w:p>
    <w:p w:rsidR="003E7854" w:rsidRDefault="00D67ED8">
      <w:pPr>
        <w:pStyle w:val="Normale1"/>
      </w:pPr>
      <w:r>
        <w:rPr>
          <w:sz w:val="20"/>
          <w:szCs w:val="20"/>
        </w:rPr>
        <w:t>UD4. Le forme di mercato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Che cosa sono?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La libera concorrenza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monopolio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La concorrenza monopolistica</w:t>
      </w:r>
    </w:p>
    <w:p w:rsidR="003E7854" w:rsidRDefault="00D67ED8">
      <w:pPr>
        <w:pStyle w:val="Normale1"/>
        <w:tabs>
          <w:tab w:val="left" w:pos="7460"/>
        </w:tabs>
        <w:spacing w:before="57"/>
        <w:ind w:left="223"/>
        <w:jc w:val="both"/>
        <w:rPr>
          <w:rFonts w:eastAsia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          </w:t>
      </w:r>
      <w:r>
        <w:rPr>
          <w:rFonts w:eastAsia="Calibri" w:cs="Calibri"/>
          <w:sz w:val="20"/>
          <w:szCs w:val="20"/>
        </w:rPr>
        <w:t>La concentrazione dell’offerta e l’Antitrust (cenni)</w:t>
      </w:r>
    </w:p>
    <w:p w:rsidR="003E7854" w:rsidRDefault="00D67ED8">
      <w:pPr>
        <w:pStyle w:val="Normale1"/>
        <w:tabs>
          <w:tab w:val="left" w:pos="7460"/>
        </w:tabs>
        <w:spacing w:before="5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Mod</w:t>
      </w:r>
      <w:proofErr w:type="spellEnd"/>
      <w:r>
        <w:rPr>
          <w:sz w:val="20"/>
          <w:szCs w:val="20"/>
        </w:rPr>
        <w:t xml:space="preserve"> 2 </w:t>
      </w:r>
      <w:r>
        <w:rPr>
          <w:b/>
          <w:sz w:val="20"/>
          <w:szCs w:val="20"/>
        </w:rPr>
        <w:t>La ricchezza degli Stati e i cicli economici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UD1. Il prodotto e il reddito nazionale                                                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 xml:space="preserve">La relazione tra produzione e reddito                                           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>Il Prodotto interno lordo (PIL)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>Il Prodotto nazionale lordo (PNL)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>Reddito interno lordo (RIL) e Reddito medio pro capite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>UD2. La ripartizione del reddito interno lordo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>Reddito da lavoro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>Reddito da proprietà</w:t>
      </w:r>
    </w:p>
    <w:p w:rsidR="003E7854" w:rsidRDefault="00D67ED8">
      <w:pPr>
        <w:pStyle w:val="Normale1"/>
        <w:tabs>
          <w:tab w:val="left" w:pos="648"/>
        </w:tabs>
        <w:ind w:left="223"/>
      </w:pPr>
      <w:r>
        <w:rPr>
          <w:sz w:val="20"/>
          <w:szCs w:val="20"/>
        </w:rPr>
        <w:tab/>
        <w:t>Reddito d’impresa</w:t>
      </w:r>
    </w:p>
    <w:p w:rsidR="003E7854" w:rsidRDefault="00D67ED8">
      <w:pPr>
        <w:pStyle w:val="Normale1"/>
        <w:tabs>
          <w:tab w:val="left" w:pos="648"/>
        </w:tabs>
        <w:ind w:left="223"/>
      </w:pPr>
      <w:r>
        <w:rPr>
          <w:sz w:val="20"/>
          <w:szCs w:val="20"/>
        </w:rPr>
        <w:tab/>
        <w:t xml:space="preserve">Reddito di trasferimento </w:t>
      </w:r>
    </w:p>
    <w:p w:rsidR="003E7854" w:rsidRDefault="00D67ED8">
      <w:pPr>
        <w:pStyle w:val="Normale1"/>
        <w:tabs>
          <w:tab w:val="left" w:pos="648"/>
        </w:tabs>
        <w:ind w:left="223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>La questione della redistribuzione del reddito</w:t>
      </w:r>
    </w:p>
    <w:p w:rsidR="003E7854" w:rsidRDefault="00D67ED8">
      <w:pPr>
        <w:pStyle w:val="Normale1"/>
        <w:tabs>
          <w:tab w:val="left" w:pos="648"/>
        </w:tabs>
      </w:pPr>
      <w:proofErr w:type="spellStart"/>
      <w:r>
        <w:rPr>
          <w:rFonts w:eastAsia="Calibri" w:cs="Calibri"/>
          <w:sz w:val="20"/>
          <w:szCs w:val="20"/>
        </w:rPr>
        <w:t>Mod</w:t>
      </w:r>
      <w:proofErr w:type="spellEnd"/>
      <w:r>
        <w:rPr>
          <w:rFonts w:eastAsia="Calibri" w:cs="Calibri"/>
          <w:sz w:val="20"/>
          <w:szCs w:val="20"/>
        </w:rPr>
        <w:t xml:space="preserve"> 3 </w:t>
      </w:r>
      <w:r>
        <w:rPr>
          <w:rFonts w:eastAsia="Calibri" w:cs="Calibri"/>
          <w:b/>
          <w:sz w:val="20"/>
          <w:szCs w:val="20"/>
        </w:rPr>
        <w:t>La moneta e il suo valore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UD1. La moneta                                                                                  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 xml:space="preserve">Origini e utilità della moneta                                                          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>Tipi di moneta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>UD2. Il valore della moneta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>Valore nominale e valore reale</w:t>
      </w:r>
    </w:p>
    <w:p w:rsidR="003E7854" w:rsidRDefault="00D67ED8"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L’inflazione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>La deflazione</w:t>
      </w:r>
    </w:p>
    <w:p w:rsidR="003E7854" w:rsidRDefault="00D67ED8"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Il mercato della moneta</w:t>
      </w:r>
    </w:p>
    <w:p w:rsidR="003E7854" w:rsidRDefault="00D67ED8"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Il mercato monetario</w:t>
      </w:r>
    </w:p>
    <w:p w:rsidR="003E7854" w:rsidRDefault="00D67ED8">
      <w:pPr>
        <w:pStyle w:val="Normale1"/>
        <w:ind w:left="223" w:firstLine="485"/>
      </w:pPr>
      <w:r>
        <w:rPr>
          <w:sz w:val="20"/>
          <w:szCs w:val="20"/>
        </w:rPr>
        <w:t>Il mercato finanziario</w:t>
      </w:r>
    </w:p>
    <w:p w:rsidR="003E7854" w:rsidRDefault="003E7854">
      <w:pPr>
        <w:pStyle w:val="Normale1"/>
        <w:tabs>
          <w:tab w:val="left" w:pos="648"/>
        </w:tabs>
        <w:spacing w:before="57"/>
        <w:ind w:left="223"/>
        <w:jc w:val="both"/>
        <w:rPr>
          <w:rFonts w:ascii="Calibri" w:eastAsia="Calibri" w:hAnsi="Calibri" w:cs="Calibri"/>
          <w:b/>
        </w:rPr>
      </w:pPr>
    </w:p>
    <w:p w:rsidR="003E7854" w:rsidRDefault="00D67ED8">
      <w:pPr>
        <w:pStyle w:val="Normale1"/>
        <w:tabs>
          <w:tab w:val="left" w:pos="648"/>
        </w:tabs>
        <w:spacing w:before="57"/>
        <w:ind w:left="223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DIRITTO</w:t>
      </w:r>
    </w:p>
    <w:p w:rsidR="003E7854" w:rsidRDefault="003E7854">
      <w:pPr>
        <w:pStyle w:val="Normale1"/>
        <w:tabs>
          <w:tab w:val="left" w:pos="648"/>
        </w:tabs>
        <w:spacing w:before="57"/>
        <w:ind w:left="223"/>
        <w:jc w:val="center"/>
      </w:pPr>
    </w:p>
    <w:p w:rsidR="003E7854" w:rsidRDefault="00D67ED8">
      <w:pPr>
        <w:pStyle w:val="Normale1"/>
        <w:rPr>
          <w:sz w:val="20"/>
          <w:szCs w:val="20"/>
        </w:rPr>
      </w:pPr>
      <w:proofErr w:type="spellStart"/>
      <w:r>
        <w:rPr>
          <w:sz w:val="20"/>
          <w:szCs w:val="20"/>
        </w:rPr>
        <w:t>Mod</w:t>
      </w:r>
      <w:proofErr w:type="spellEnd"/>
      <w:r>
        <w:rPr>
          <w:sz w:val="20"/>
          <w:szCs w:val="20"/>
        </w:rPr>
        <w:t xml:space="preserve"> 1 </w:t>
      </w:r>
      <w:r>
        <w:rPr>
          <w:b/>
          <w:sz w:val="20"/>
          <w:szCs w:val="20"/>
        </w:rPr>
        <w:t>La Costituzione italiana</w:t>
      </w:r>
      <w:r>
        <w:rPr>
          <w:sz w:val="20"/>
          <w:szCs w:val="20"/>
        </w:rPr>
        <w:t xml:space="preserve">                                                                          </w:t>
      </w:r>
    </w:p>
    <w:p w:rsidR="003E7854" w:rsidRDefault="00D67ED8">
      <w:pPr>
        <w:pStyle w:val="Normale1"/>
      </w:pPr>
      <w:r>
        <w:rPr>
          <w:sz w:val="20"/>
          <w:szCs w:val="20"/>
        </w:rPr>
        <w:t>UD1.Le specie di Costituzioni</w:t>
      </w:r>
      <w:r>
        <w:rPr>
          <w:sz w:val="20"/>
          <w:szCs w:val="20"/>
        </w:rPr>
        <w:tab/>
      </w:r>
    </w:p>
    <w:p w:rsidR="003E7854" w:rsidRDefault="00D67ED8">
      <w:pPr>
        <w:pStyle w:val="Normale1"/>
        <w:ind w:left="423"/>
      </w:pPr>
      <w:r>
        <w:rPr>
          <w:sz w:val="20"/>
          <w:szCs w:val="20"/>
        </w:rPr>
        <w:tab/>
        <w:t>Dallo Statuto albertino alla Costituzione repubblicana</w:t>
      </w:r>
    </w:p>
    <w:p w:rsidR="003E7854" w:rsidRDefault="00D67ED8">
      <w:pPr>
        <w:pStyle w:val="Normale1"/>
        <w:ind w:left="423"/>
      </w:pPr>
      <w:r>
        <w:rPr>
          <w:sz w:val="20"/>
          <w:szCs w:val="20"/>
        </w:rPr>
        <w:tab/>
        <w:t>Caratteri della Costituzione</w:t>
      </w:r>
    </w:p>
    <w:p w:rsidR="003E7854" w:rsidRDefault="00D67ED8">
      <w:pPr>
        <w:pStyle w:val="Normale1"/>
        <w:ind w:left="423"/>
      </w:pPr>
      <w:r>
        <w:rPr>
          <w:sz w:val="20"/>
          <w:szCs w:val="20"/>
        </w:rPr>
        <w:tab/>
        <w:t>La struttura della Costituzione</w:t>
      </w:r>
    </w:p>
    <w:p w:rsidR="003E7854" w:rsidRDefault="00D67ED8">
      <w:pPr>
        <w:pStyle w:val="Normale1"/>
        <w:tabs>
          <w:tab w:val="left" w:pos="648"/>
        </w:tabs>
        <w:spacing w:before="57"/>
        <w:ind w:left="423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 xml:space="preserve"> I Principi fondamentali </w:t>
      </w:r>
    </w:p>
    <w:p w:rsidR="003E7854" w:rsidRDefault="00D67ED8">
      <w:pPr>
        <w:pStyle w:val="Normale1"/>
        <w:tabs>
          <w:tab w:val="left" w:pos="648"/>
        </w:tabs>
        <w:spacing w:before="57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Mod</w:t>
      </w:r>
      <w:proofErr w:type="spellEnd"/>
      <w:r>
        <w:rPr>
          <w:sz w:val="20"/>
          <w:szCs w:val="20"/>
        </w:rPr>
        <w:t xml:space="preserve"> 2 </w:t>
      </w:r>
      <w:r>
        <w:rPr>
          <w:b/>
          <w:sz w:val="20"/>
          <w:szCs w:val="20"/>
        </w:rPr>
        <w:t>La Costituzione e i cittadini</w:t>
      </w:r>
    </w:p>
    <w:p w:rsidR="003E7854" w:rsidRDefault="00D67ED8">
      <w:pPr>
        <w:pStyle w:val="Normale1"/>
      </w:pPr>
      <w:r>
        <w:rPr>
          <w:sz w:val="20"/>
          <w:szCs w:val="20"/>
        </w:rPr>
        <w:t xml:space="preserve">UD1. La prima parte della Costituzione                                                    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ab/>
        <w:t xml:space="preserve"> I rapporti civili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ab/>
        <w:t xml:space="preserve"> I rapporti etico-sociali</w:t>
      </w:r>
    </w:p>
    <w:p w:rsidR="003E7854" w:rsidRDefault="00D67ED8">
      <w:pPr>
        <w:pStyle w:val="Normale1"/>
      </w:pPr>
      <w:r>
        <w:rPr>
          <w:sz w:val="20"/>
          <w:szCs w:val="20"/>
        </w:rPr>
        <w:t>UD2. I rapporti economici e politici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 rapporti economici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 rapporti politici</w:t>
      </w:r>
    </w:p>
    <w:p w:rsidR="003E7854" w:rsidRDefault="00D67ED8">
      <w:pPr>
        <w:pStyle w:val="Normale1"/>
        <w:ind w:left="223"/>
      </w:pPr>
      <w:r>
        <w:rPr>
          <w:rFonts w:ascii="Calibri" w:eastAsia="Calibri" w:hAnsi="Calibri" w:cs="Calibri"/>
          <w:b/>
          <w:sz w:val="20"/>
          <w:szCs w:val="20"/>
        </w:rPr>
        <w:t xml:space="preserve">    </w:t>
      </w:r>
      <w:r>
        <w:rPr>
          <w:rFonts w:eastAsia="Calibri" w:cs="Calibri"/>
          <w:sz w:val="20"/>
          <w:szCs w:val="20"/>
        </w:rPr>
        <w:t xml:space="preserve"> </w:t>
      </w:r>
      <w:r>
        <w:rPr>
          <w:rFonts w:eastAsia="Calibri" w:cs="Calibri"/>
          <w:sz w:val="20"/>
          <w:szCs w:val="20"/>
        </w:rPr>
        <w:tab/>
        <w:t xml:space="preserve"> I doveri dei cittadini</w:t>
      </w:r>
    </w:p>
    <w:p w:rsidR="003E7854" w:rsidRDefault="00D67ED8">
      <w:pPr>
        <w:pStyle w:val="Normale1"/>
        <w:rPr>
          <w:sz w:val="20"/>
          <w:szCs w:val="20"/>
        </w:rPr>
      </w:pPr>
      <w:proofErr w:type="spellStart"/>
      <w:r>
        <w:rPr>
          <w:sz w:val="20"/>
          <w:szCs w:val="20"/>
        </w:rPr>
        <w:t>Mod</w:t>
      </w:r>
      <w:proofErr w:type="spellEnd"/>
      <w:r>
        <w:rPr>
          <w:sz w:val="20"/>
          <w:szCs w:val="20"/>
        </w:rPr>
        <w:t xml:space="preserve"> 3 </w:t>
      </w:r>
      <w:r>
        <w:rPr>
          <w:b/>
          <w:sz w:val="20"/>
          <w:szCs w:val="20"/>
        </w:rPr>
        <w:t>L’ordinamento della Repubblica</w:t>
      </w:r>
    </w:p>
    <w:p w:rsidR="003E7854" w:rsidRDefault="00D67ED8">
      <w:pPr>
        <w:pStyle w:val="Normale1"/>
      </w:pPr>
      <w:r>
        <w:rPr>
          <w:sz w:val="20"/>
          <w:szCs w:val="20"/>
        </w:rPr>
        <w:t xml:space="preserve">UD1. Il Parlamento, il Governo e il Presidente della Repubblica      </w:t>
      </w:r>
    </w:p>
    <w:p w:rsidR="003E7854" w:rsidRDefault="00D67ED8">
      <w:pPr>
        <w:pStyle w:val="Normale1"/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  <w:t xml:space="preserve"> Gli organi costituzionali                                                       </w:t>
      </w:r>
    </w:p>
    <w:p w:rsidR="003E7854" w:rsidRDefault="00D67ED8">
      <w:pPr>
        <w:pStyle w:val="Normale1"/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  <w:t xml:space="preserve"> Il Parlamento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  <w:t xml:space="preserve"> L’iter legislativo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Il Governo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Il Presidente della Repubblica</w:t>
      </w:r>
    </w:p>
    <w:p w:rsidR="003E7854" w:rsidRDefault="00D67ED8">
      <w:pPr>
        <w:pStyle w:val="Normale1"/>
      </w:pPr>
      <w:r>
        <w:rPr>
          <w:sz w:val="20"/>
          <w:szCs w:val="20"/>
        </w:rPr>
        <w:t>UD2. La Magistratura e la Corte costituzionale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 xml:space="preserve">La Magistratura </w:t>
      </w:r>
    </w:p>
    <w:p w:rsidR="003E7854" w:rsidRDefault="00D67ED8">
      <w:pPr>
        <w:pStyle w:val="Normale1"/>
        <w:ind w:left="223"/>
      </w:pP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ab/>
        <w:t>I procedimenti giudiziari</w:t>
      </w:r>
    </w:p>
    <w:p w:rsidR="003E7854" w:rsidRDefault="00D67ED8">
      <w:pPr>
        <w:pStyle w:val="Normale1"/>
        <w:tabs>
          <w:tab w:val="left" w:pos="648"/>
        </w:tabs>
        <w:spacing w:before="57"/>
        <w:ind w:left="223"/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       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eastAsia="Calibri" w:cs="Calibri"/>
          <w:sz w:val="20"/>
          <w:szCs w:val="20"/>
        </w:rPr>
        <w:t xml:space="preserve">La Corte costituzionale </w:t>
      </w:r>
    </w:p>
    <w:p w:rsidR="003E7854" w:rsidRDefault="003E7854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</w:p>
    <w:p w:rsidR="003E7854" w:rsidRDefault="003E7854">
      <w:pPr>
        <w:pStyle w:val="Standard"/>
        <w:tabs>
          <w:tab w:val="left" w:pos="7460"/>
        </w:tabs>
        <w:spacing w:before="57"/>
        <w:jc w:val="both"/>
        <w:rPr>
          <w:rFonts w:ascii="Calibri" w:eastAsia="Calibri" w:hAnsi="Calibri" w:cs="Calibri"/>
          <w:sz w:val="22"/>
          <w:szCs w:val="22"/>
        </w:rPr>
      </w:pPr>
    </w:p>
    <w:p w:rsidR="003E7854" w:rsidRDefault="00D67ED8">
      <w:pPr>
        <w:pStyle w:val="Standard"/>
        <w:tabs>
          <w:tab w:val="left" w:pos="7460"/>
        </w:tabs>
        <w:spacing w:before="5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mese di febbraio, il programma curricolare è stato integrato col progetto legalità – ed. Civica “Il diritto alla privacy e il mondo del web: usi, abusi e dipendenza” </w:t>
      </w:r>
    </w:p>
    <w:p w:rsidR="003E7854" w:rsidRDefault="003E7854">
      <w:pPr>
        <w:pStyle w:val="Standard"/>
        <w:tabs>
          <w:tab w:val="left" w:pos="7460"/>
        </w:tabs>
        <w:spacing w:before="57"/>
        <w:jc w:val="both"/>
        <w:rPr>
          <w:rFonts w:ascii="Arial" w:hAnsi="Arial" w:cs="Arial"/>
          <w:sz w:val="20"/>
          <w:szCs w:val="20"/>
        </w:rPr>
      </w:pPr>
    </w:p>
    <w:p w:rsidR="003E7854" w:rsidRDefault="00D67ED8">
      <w:pPr>
        <w:pStyle w:val="Standard"/>
        <w:tabs>
          <w:tab w:val="left" w:pos="7460"/>
        </w:tabs>
        <w:spacing w:before="57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Testo: A. </w:t>
      </w:r>
      <w:proofErr w:type="spellStart"/>
      <w:r>
        <w:rPr>
          <w:rFonts w:ascii="Calibri" w:eastAsia="Calibri" w:hAnsi="Calibri" w:cs="Calibri"/>
          <w:sz w:val="22"/>
          <w:szCs w:val="22"/>
        </w:rPr>
        <w:t>Martignago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R. </w:t>
      </w:r>
      <w:proofErr w:type="spellStart"/>
      <w:r>
        <w:rPr>
          <w:rFonts w:ascii="Calibri" w:eastAsia="Calibri" w:hAnsi="Calibri" w:cs="Calibri"/>
          <w:sz w:val="22"/>
          <w:szCs w:val="22"/>
        </w:rPr>
        <w:t>Mistroni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“REPORT diritto ed economia” Ed: Scuola &amp; Azienda. </w:t>
      </w:r>
      <w:proofErr w:type="spellStart"/>
      <w:r>
        <w:rPr>
          <w:rFonts w:ascii="Calibri" w:eastAsia="Calibri" w:hAnsi="Calibri" w:cs="Calibri"/>
          <w:sz w:val="22"/>
          <w:szCs w:val="22"/>
        </w:rPr>
        <w:t>Vol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e </w:t>
      </w:r>
      <w:proofErr w:type="spellStart"/>
      <w:r>
        <w:rPr>
          <w:rFonts w:ascii="Calibri" w:eastAsia="Calibri" w:hAnsi="Calibri" w:cs="Calibri"/>
          <w:sz w:val="22"/>
          <w:szCs w:val="22"/>
        </w:rPr>
        <w:t>vol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2</w:t>
      </w:r>
    </w:p>
    <w:p w:rsidR="003E7854" w:rsidRDefault="003E7854">
      <w:pPr>
        <w:pStyle w:val="Standard"/>
        <w:tabs>
          <w:tab w:val="left" w:pos="7460"/>
        </w:tabs>
        <w:spacing w:before="57"/>
        <w:rPr>
          <w:rFonts w:ascii="Palatino Linotype" w:eastAsia="Calibri" w:hAnsi="Palatino Linotype" w:cs="Palatino Linotype"/>
          <w:i/>
          <w:sz w:val="16"/>
          <w:szCs w:val="22"/>
          <w:highlight w:val="yellow"/>
        </w:rPr>
      </w:pPr>
    </w:p>
    <w:tbl>
      <w:tblPr>
        <w:tblW w:w="104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88"/>
        <w:gridCol w:w="1438"/>
        <w:gridCol w:w="5926"/>
      </w:tblGrid>
      <w:tr w:rsidR="003E7854"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CF78BE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 26 I 05</w:t>
            </w:r>
            <w:bookmarkStart w:id="0" w:name="_GoBack"/>
            <w:bookmarkEnd w:id="0"/>
            <w:r w:rsidR="00D67ED8">
              <w:rPr>
                <w:rFonts w:ascii="Trebuchet MS" w:hAnsi="Trebuchet MS" w:cs="Trebuchet MS"/>
                <w:sz w:val="18"/>
                <w:szCs w:val="18"/>
              </w:rPr>
              <w:t xml:space="preserve"> I 2021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Mary Antonia Damiano</w:t>
            </w:r>
          </w:p>
        </w:tc>
      </w:tr>
      <w:tr w:rsidR="003E7854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854" w:rsidRDefault="00D67ED8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2 studenti</w:t>
            </w:r>
          </w:p>
        </w:tc>
        <w:tc>
          <w:tcPr>
            <w:tcW w:w="8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854" w:rsidRDefault="003E7854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3E7854" w:rsidRDefault="003E7854">
      <w:pPr>
        <w:pStyle w:val="Standard"/>
        <w:tabs>
          <w:tab w:val="left" w:pos="7460"/>
        </w:tabs>
        <w:spacing w:before="200" w:after="200"/>
      </w:pPr>
    </w:p>
    <w:sectPr w:rsidR="003E7854">
      <w:footerReference w:type="default" r:id="rId10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35D" w:rsidRDefault="00B0335D">
      <w:r>
        <w:separator/>
      </w:r>
    </w:p>
  </w:endnote>
  <w:endnote w:type="continuationSeparator" w:id="0">
    <w:p w:rsidR="00B0335D" w:rsidRDefault="00B03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854" w:rsidRDefault="003E785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35D" w:rsidRDefault="00B0335D">
      <w:r>
        <w:separator/>
      </w:r>
    </w:p>
  </w:footnote>
  <w:footnote w:type="continuationSeparator" w:id="0">
    <w:p w:rsidR="00B0335D" w:rsidRDefault="00B03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770CB"/>
    <w:multiLevelType w:val="multilevel"/>
    <w:tmpl w:val="B15C9DE2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F02AE5"/>
    <w:multiLevelType w:val="multilevel"/>
    <w:tmpl w:val="A56A6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54"/>
    <w:rsid w:val="003E7854"/>
    <w:rsid w:val="00B0335D"/>
    <w:rsid w:val="00CF78BE"/>
    <w:rsid w:val="00D67ED8"/>
    <w:rsid w:val="00E3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8C005-5573-426E-83EF-2269D690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qFormat/>
    <w:pPr>
      <w:keepNext/>
      <w:numPr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styleId="Numeropagina">
    <w:name w:val="page number"/>
    <w:basedOn w:val="Carpredefinitoparagrafo"/>
    <w:qFormat/>
  </w:style>
  <w:style w:type="character" w:customStyle="1" w:styleId="WW8Num35z1">
    <w:name w:val="WW8Num35z1"/>
    <w:qFormat/>
    <w:rPr>
      <w:u w:val="none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22z0">
    <w:name w:val="WW8Num22z0"/>
    <w:qFormat/>
    <w:rPr>
      <w:b/>
      <w:i w:val="0"/>
    </w:rPr>
  </w:style>
  <w:style w:type="character" w:customStyle="1" w:styleId="WW8Num25z1">
    <w:name w:val="WW8Num25z1"/>
    <w:qFormat/>
    <w:rPr>
      <w:u w:val="none"/>
    </w:rPr>
  </w:style>
  <w:style w:type="character" w:customStyle="1" w:styleId="WW8Num12z0">
    <w:name w:val="WW8Num12z0"/>
    <w:qFormat/>
    <w:rPr>
      <w:b/>
      <w:i w:val="0"/>
    </w:rPr>
  </w:style>
  <w:style w:type="character" w:customStyle="1" w:styleId="WW8Num5z0">
    <w:name w:val="WW8Num5z0"/>
    <w:qFormat/>
    <w:rPr>
      <w:b/>
      <w:i w:val="0"/>
    </w:rPr>
  </w:style>
  <w:style w:type="character" w:customStyle="1" w:styleId="WW8Num12z1">
    <w:name w:val="WW8Num12z1"/>
    <w:qFormat/>
    <w:rPr>
      <w:rFonts w:ascii="Symbol" w:hAnsi="Symbol" w:cs="Symbol"/>
      <w:b/>
      <w:i w:val="0"/>
    </w:rPr>
  </w:style>
  <w:style w:type="character" w:customStyle="1" w:styleId="WW8Num4z0">
    <w:name w:val="WW8Num4z0"/>
    <w:qFormat/>
    <w:rPr>
      <w:b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 2" w:eastAsia="Times New Roman" w:hAnsi="Wingdings 2" w:cs="Times New Roman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27z1">
    <w:name w:val="WW8Num27z1"/>
    <w:qFormat/>
    <w:rPr>
      <w:u w:val="none"/>
    </w:rPr>
  </w:style>
  <w:style w:type="character" w:customStyle="1" w:styleId="Titolo1Carattere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customStyle="1" w:styleId="WW8Num13z0">
    <w:name w:val="WW8Num13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17z0">
    <w:name w:val="WW8Num17z0"/>
    <w:qFormat/>
    <w:rPr>
      <w:b/>
      <w:i w:val="0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21z0">
    <w:name w:val="WW8Num21z0"/>
    <w:qFormat/>
    <w:rPr>
      <w:b/>
      <w:i w:val="0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/>
      <w:i w:val="0"/>
    </w:rPr>
  </w:style>
  <w:style w:type="character" w:customStyle="1" w:styleId="WW8Num10z0">
    <w:name w:val="WW8Num10z0"/>
    <w:qFormat/>
    <w:rPr>
      <w:b/>
    </w:rPr>
  </w:style>
  <w:style w:type="character" w:customStyle="1" w:styleId="WW8Num29z0">
    <w:name w:val="WW8Num29z0"/>
    <w:qFormat/>
    <w:rPr>
      <w:b/>
    </w:rPr>
  </w:style>
  <w:style w:type="character" w:customStyle="1" w:styleId="WW8Num23z0">
    <w:name w:val="WW8Num23z0"/>
    <w:qFormat/>
    <w:rPr>
      <w:b/>
      <w:i w:val="0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28z1">
    <w:name w:val="WW8Num28z1"/>
    <w:qFormat/>
    <w:rPr>
      <w:u w:val="none"/>
    </w:rPr>
  </w:style>
  <w:style w:type="character" w:customStyle="1" w:styleId="WW8Num2z0">
    <w:name w:val="WW8Num2z0"/>
    <w:qFormat/>
    <w:rPr>
      <w:b/>
      <w:i w:val="0"/>
    </w:rPr>
  </w:style>
  <w:style w:type="character" w:customStyle="1" w:styleId="WW8Num11z0">
    <w:name w:val="WW8Num11z0"/>
    <w:qFormat/>
    <w:rPr>
      <w:b/>
    </w:rPr>
  </w:style>
  <w:style w:type="character" w:customStyle="1" w:styleId="WW8Num34z0">
    <w:name w:val="WW8Num34z0"/>
    <w:qFormat/>
    <w:rPr>
      <w:b/>
    </w:rPr>
  </w:style>
  <w:style w:type="character" w:customStyle="1" w:styleId="WW8Num30z0">
    <w:name w:val="WW8Num30z0"/>
    <w:qFormat/>
    <w:rPr>
      <w:b/>
    </w:rPr>
  </w:style>
  <w:style w:type="character" w:customStyle="1" w:styleId="WW8Num33z1">
    <w:name w:val="WW8Num33z1"/>
    <w:qFormat/>
    <w:rPr>
      <w:u w:val="none"/>
    </w:rPr>
  </w:style>
  <w:style w:type="character" w:customStyle="1" w:styleId="WW8Num28z0">
    <w:name w:val="WW8Num28z0"/>
    <w:qFormat/>
    <w:rPr>
      <w:b/>
      <w:i w:val="0"/>
    </w:rPr>
  </w:style>
  <w:style w:type="character" w:customStyle="1" w:styleId="Caratteridinumerazione">
    <w:name w:val="Caratteri di numerazione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33z0">
    <w:name w:val="WW8Num33z0"/>
    <w:qFormat/>
    <w:rPr>
      <w:b/>
      <w:i w:val="0"/>
    </w:rPr>
  </w:style>
  <w:style w:type="character" w:customStyle="1" w:styleId="WW8Num14z0">
    <w:name w:val="WW8Num14z0"/>
    <w:qFormat/>
    <w:rPr>
      <w:rFonts w:ascii="Wingdings" w:eastAsia="Times New Roman" w:hAnsi="Wingdings" w:cs="Times New Roman"/>
    </w:rPr>
  </w:style>
  <w:style w:type="character" w:customStyle="1" w:styleId="WW8Num23z1">
    <w:name w:val="WW8Num23z1"/>
    <w:qFormat/>
    <w:rPr>
      <w:u w:val="none"/>
    </w:rPr>
  </w:style>
  <w:style w:type="character" w:customStyle="1" w:styleId="WW8Num22z1">
    <w:name w:val="WW8Num22z1"/>
    <w:qFormat/>
    <w:rPr>
      <w:u w:val="none"/>
    </w:rPr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WW8Num36z0">
    <w:name w:val="WW8Num36z0"/>
    <w:qFormat/>
    <w:rPr>
      <w:b/>
      <w:i w:val="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Titolo3Carattere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paragraph" w:customStyle="1" w:styleId="Titolo10">
    <w:name w:val="Titolo1"/>
    <w:basedOn w:val="Standard"/>
    <w:next w:val="Textbody"/>
    <w:qFormat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Standard"/>
    <w:qFormat/>
    <w:pPr>
      <w:suppressLineNumbers/>
    </w:pPr>
    <w:rPr>
      <w:rFonts w:cs="Mangal"/>
    </w:rPr>
  </w:style>
  <w:style w:type="paragraph" w:customStyle="1" w:styleId="Titolo1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pPr>
      <w:jc w:val="both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Pr>
      <w:rFonts w:ascii="Tahoma" w:hAnsi="Tahoma" w:cs="Tahoma"/>
      <w:sz w:val="16"/>
      <w:szCs w:val="16"/>
    </w:rPr>
  </w:style>
  <w:style w:type="paragraph" w:styleId="Corpodeltesto2">
    <w:name w:val="Body Text 2"/>
    <w:basedOn w:val="Standard"/>
    <w:qFormat/>
    <w:rPr>
      <w:b/>
      <w:bCs/>
      <w:sz w:val="28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Normale1">
    <w:name w:val="Normale1"/>
    <w:qFormat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Mary Damiano</cp:lastModifiedBy>
  <cp:revision>9</cp:revision>
  <cp:lastPrinted>2012-06-03T12:34:00Z</cp:lastPrinted>
  <dcterms:created xsi:type="dcterms:W3CDTF">2019-05-28T09:46:00Z</dcterms:created>
  <dcterms:modified xsi:type="dcterms:W3CDTF">2021-05-29T11:30:00Z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1033-10.2.0.5811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